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tblpY="2042"/>
        <w:tblOverlap w:val="never"/>
        <w:tblW w:w="983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34"/>
        <w:gridCol w:w="1080"/>
        <w:gridCol w:w="1440"/>
        <w:gridCol w:w="1980"/>
      </w:tblGrid>
      <w:tr w:rsidR="009C2E20" w14:paraId="7012D00B" w14:textId="77777777">
        <w:trPr>
          <w:cantSplit/>
          <w:trHeight w:val="262"/>
        </w:trPr>
        <w:tc>
          <w:tcPr>
            <w:tcW w:w="5334" w:type="dxa"/>
            <w:vMerge w:val="restart"/>
          </w:tcPr>
          <w:p w14:paraId="612C9377" w14:textId="77777777" w:rsidR="00DF55FA" w:rsidRDefault="00E620B6">
            <w:pPr>
              <w:ind w:left="223"/>
              <w:rPr>
                <w:rFonts w:ascii="Arial" w:hAnsi="Arial" w:cs="Arial"/>
                <w:sz w:val="22"/>
                <w:szCs w:val="22"/>
              </w:rPr>
            </w:pPr>
            <w:bookmarkStart w:id="0" w:name="MottakerNavn"/>
            <w:r>
              <w:rPr>
                <w:rFonts w:ascii="Arial" w:hAnsi="Arial" w:cs="Arial"/>
                <w:sz w:val="22"/>
                <w:szCs w:val="22"/>
              </w:rPr>
              <w:t>Fylkesmannen i Nordland</w:t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222057" w14:textId="77777777" w:rsidR="00DF55FA" w:rsidRDefault="00E620B6">
            <w:pPr>
              <w:ind w:left="223"/>
              <w:rPr>
                <w:rFonts w:ascii="Arial" w:hAnsi="Arial" w:cs="Arial"/>
                <w:sz w:val="22"/>
                <w:szCs w:val="22"/>
              </w:rPr>
            </w:pPr>
            <w:bookmarkStart w:id="1" w:name="Adresse"/>
            <w:r>
              <w:rPr>
                <w:rFonts w:ascii="Arial" w:hAnsi="Arial" w:cs="Arial"/>
                <w:sz w:val="22"/>
                <w:szCs w:val="22"/>
              </w:rPr>
              <w:t>Statens Hus, Moloveien 10</w:t>
            </w:r>
            <w:bookmarkEnd w:id="1"/>
          </w:p>
          <w:p w14:paraId="663F507E" w14:textId="77777777" w:rsidR="00DF55FA" w:rsidRDefault="00E620B6">
            <w:pPr>
              <w:ind w:left="223"/>
              <w:rPr>
                <w:rFonts w:ascii="Arial" w:hAnsi="Arial" w:cs="Arial"/>
                <w:sz w:val="22"/>
                <w:szCs w:val="22"/>
              </w:rPr>
            </w:pPr>
            <w:bookmarkStart w:id="2" w:name="Postnr"/>
            <w:r>
              <w:rPr>
                <w:rFonts w:ascii="Arial" w:hAnsi="Arial" w:cs="Arial"/>
                <w:sz w:val="22"/>
                <w:szCs w:val="22"/>
              </w:rPr>
              <w:t>8002</w:t>
            </w:r>
            <w:bookmarkStart w:id="3" w:name="Poststed"/>
            <w:bookmarkEnd w:id="2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Bodø</w:t>
            </w:r>
            <w:bookmarkEnd w:id="3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5FFD608" w14:textId="77777777" w:rsidR="00DF55FA" w:rsidRDefault="00E620B6">
            <w:pPr>
              <w:ind w:left="223"/>
              <w:rPr>
                <w:rFonts w:ascii="Arial" w:hAnsi="Arial" w:cs="Arial"/>
                <w:sz w:val="22"/>
                <w:szCs w:val="22"/>
              </w:rPr>
            </w:pPr>
            <w:bookmarkStart w:id="4" w:name="UtlandsAdresse"/>
            <w:bookmarkEnd w:id="4"/>
          </w:p>
          <w:p w14:paraId="62C2A5BB" w14:textId="77777777" w:rsidR="00DF55FA" w:rsidRDefault="00E620B6">
            <w:pPr>
              <w:ind w:left="223"/>
              <w:rPr>
                <w:rFonts w:ascii="Arial" w:hAnsi="Arial" w:cs="Arial"/>
                <w:sz w:val="22"/>
                <w:szCs w:val="22"/>
              </w:rPr>
            </w:pPr>
          </w:p>
          <w:p w14:paraId="605CD2F2" w14:textId="77777777" w:rsidR="00DF55FA" w:rsidRDefault="00E620B6">
            <w:pPr>
              <w:ind w:left="223"/>
              <w:rPr>
                <w:rFonts w:ascii="Arial" w:hAnsi="Arial" w:cs="Arial"/>
                <w:sz w:val="22"/>
              </w:rPr>
            </w:pPr>
            <w:bookmarkStart w:id="5" w:name="Kontakt"/>
            <w:bookmarkEnd w:id="5"/>
          </w:p>
        </w:tc>
        <w:tc>
          <w:tcPr>
            <w:tcW w:w="1080" w:type="dxa"/>
            <w:vAlign w:val="bottom"/>
          </w:tcPr>
          <w:p w14:paraId="641569D9" w14:textId="77777777" w:rsidR="00DF55FA" w:rsidRDefault="00E620B6">
            <w:pPr>
              <w:spacing w:before="40"/>
              <w:ind w:left="1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Deres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40" w:type="dxa"/>
            <w:vAlign w:val="bottom"/>
          </w:tcPr>
          <w:p w14:paraId="248AA52A" w14:textId="77777777" w:rsidR="00DF55FA" w:rsidRDefault="00E620B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bookmarkStart w:id="6" w:name="Ref"/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75EF1558" w14:textId="77777777" w:rsidR="00DF55FA" w:rsidRDefault="00E620B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E20" w14:paraId="0D9A4F6C" w14:textId="77777777">
        <w:trPr>
          <w:cantSplit/>
          <w:trHeight w:val="180"/>
        </w:trPr>
        <w:tc>
          <w:tcPr>
            <w:tcW w:w="5334" w:type="dxa"/>
            <w:vMerge/>
          </w:tcPr>
          <w:p w14:paraId="1CC43899" w14:textId="77777777" w:rsidR="00DF55FA" w:rsidRDefault="00E620B6">
            <w:pPr>
              <w:ind w:left="22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14:paraId="2EBC1023" w14:textId="77777777" w:rsidR="00DF55FA" w:rsidRDefault="00E620B6">
            <w:pPr>
              <w:spacing w:before="40"/>
              <w:ind w:left="1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Vår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40" w:type="dxa"/>
            <w:vAlign w:val="bottom"/>
          </w:tcPr>
          <w:p w14:paraId="7FC3DE49" w14:textId="77777777" w:rsidR="00DF55FA" w:rsidRDefault="00E620B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bookmarkStart w:id="7" w:name="Saksnr"/>
            <w:r>
              <w:rPr>
                <w:rFonts w:ascii="Arial" w:hAnsi="Arial" w:cs="Arial"/>
                <w:sz w:val="16"/>
                <w:szCs w:val="16"/>
              </w:rPr>
              <w:t>2020/227092</w:t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980" w:type="dxa"/>
          </w:tcPr>
          <w:p w14:paraId="183392FA" w14:textId="77777777" w:rsidR="00DF55FA" w:rsidRDefault="00E620B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E20" w14:paraId="5A0F3563" w14:textId="77777777">
        <w:trPr>
          <w:cantSplit/>
          <w:trHeight w:val="216"/>
        </w:trPr>
        <w:tc>
          <w:tcPr>
            <w:tcW w:w="5334" w:type="dxa"/>
            <w:vMerge/>
          </w:tcPr>
          <w:p w14:paraId="73E5AA76" w14:textId="77777777" w:rsidR="00DF55FA" w:rsidRDefault="00E620B6">
            <w:pPr>
              <w:ind w:left="22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14:paraId="4CC974F7" w14:textId="77777777" w:rsidR="00DF55FA" w:rsidRDefault="00E620B6">
            <w:pPr>
              <w:spacing w:before="40"/>
              <w:ind w:left="16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Dato:</w:t>
            </w:r>
          </w:p>
        </w:tc>
        <w:tc>
          <w:tcPr>
            <w:tcW w:w="1440" w:type="dxa"/>
            <w:vAlign w:val="bottom"/>
          </w:tcPr>
          <w:p w14:paraId="67990A8F" w14:textId="77777777" w:rsidR="00DF55FA" w:rsidRDefault="00E620B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bookmarkStart w:id="8" w:name="Brevdato"/>
            <w:r>
              <w:rPr>
                <w:rFonts w:ascii="Arial" w:hAnsi="Arial" w:cs="Arial"/>
                <w:sz w:val="16"/>
                <w:szCs w:val="16"/>
              </w:rPr>
              <w:t>04.12.2020</w:t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75370030" w14:textId="77777777" w:rsidR="00DF55FA" w:rsidRDefault="00E620B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E20" w14:paraId="71F34285" w14:textId="77777777">
        <w:trPr>
          <w:cantSplit/>
          <w:trHeight w:val="372"/>
        </w:trPr>
        <w:tc>
          <w:tcPr>
            <w:tcW w:w="5334" w:type="dxa"/>
            <w:vMerge/>
          </w:tcPr>
          <w:p w14:paraId="147FEBDD" w14:textId="77777777" w:rsidR="00DF55FA" w:rsidRDefault="00E620B6">
            <w:pPr>
              <w:ind w:left="22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A88290C" w14:textId="77777777" w:rsidR="00DF55FA" w:rsidRPr="00163697" w:rsidRDefault="00E620B6">
            <w:pPr>
              <w:spacing w:before="40"/>
              <w:ind w:left="161"/>
              <w:rPr>
                <w:rFonts w:ascii="Arial" w:hAnsi="Arial" w:cs="Arial"/>
                <w:sz w:val="16"/>
                <w:szCs w:val="16"/>
              </w:rPr>
            </w:pPr>
            <w:r w:rsidRPr="00163697">
              <w:rPr>
                <w:rFonts w:ascii="Arial" w:hAnsi="Arial" w:cs="Arial"/>
                <w:sz w:val="16"/>
                <w:szCs w:val="16"/>
              </w:rPr>
              <w:t>Org.nr:</w:t>
            </w:r>
          </w:p>
        </w:tc>
        <w:tc>
          <w:tcPr>
            <w:tcW w:w="1440" w:type="dxa"/>
          </w:tcPr>
          <w:p w14:paraId="249B67D6" w14:textId="77777777" w:rsidR="00DF55FA" w:rsidRDefault="00E620B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985 399 077</w:t>
            </w:r>
          </w:p>
        </w:tc>
        <w:tc>
          <w:tcPr>
            <w:tcW w:w="1980" w:type="dxa"/>
          </w:tcPr>
          <w:p w14:paraId="78EB323D" w14:textId="77777777" w:rsidR="00DF55FA" w:rsidRDefault="00E620B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4BEBF8" w14:textId="77777777" w:rsidR="00DF55FA" w:rsidRDefault="00E620B6">
      <w:pPr>
        <w:rPr>
          <w:rFonts w:ascii="Arial" w:hAnsi="Arial" w:cs="Arial"/>
          <w:sz w:val="22"/>
          <w:szCs w:val="22"/>
        </w:rPr>
      </w:pPr>
    </w:p>
    <w:tbl>
      <w:tblPr>
        <w:tblpPr w:leftFromText="142" w:rightFromText="142" w:vertAnchor="page" w:horzAnchor="page" w:tblpY="4027"/>
        <w:tblW w:w="14394" w:type="dxa"/>
        <w:tblLook w:val="01E0" w:firstRow="1" w:lastRow="1" w:firstColumn="1" w:lastColumn="1" w:noHBand="0" w:noVBand="0"/>
      </w:tblPr>
      <w:tblGrid>
        <w:gridCol w:w="15304"/>
      </w:tblGrid>
      <w:tr w:rsidR="009C2E20" w14:paraId="7CFD3523" w14:textId="77777777">
        <w:trPr>
          <w:trHeight w:val="1618"/>
        </w:trPr>
        <w:tc>
          <w:tcPr>
            <w:tcW w:w="14394" w:type="dxa"/>
          </w:tcPr>
          <w:p w14:paraId="27A8421E" w14:textId="77777777" w:rsidR="00DF55FA" w:rsidRDefault="00E620B6">
            <w:pPr>
              <w:tabs>
                <w:tab w:val="left" w:pos="10980"/>
                <w:tab w:val="left" w:pos="11364"/>
              </w:tabs>
              <w:ind w:right="268"/>
              <w:rPr>
                <w:rFonts w:ascii="Arial" w:hAnsi="Arial" w:cs="Arial"/>
                <w:sz w:val="22"/>
                <w:szCs w:val="22"/>
              </w:rPr>
            </w:pPr>
            <w:bookmarkStart w:id="9" w:name="Logo"/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1AFCF2E" wp14:editId="10ABF60D">
                  <wp:extent cx="9410700" cy="952500"/>
                  <wp:effectExtent l="0" t="0" r="0" b="0"/>
                  <wp:docPr id="4" name="Bilde 1" descr="MT_logo_bokmNy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T_logo_bokmNy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9"/>
          </w:p>
        </w:tc>
      </w:tr>
    </w:tbl>
    <w:p w14:paraId="18EC816B" w14:textId="77777777" w:rsidR="00DF55FA" w:rsidRDefault="00E620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10" w:name="BetegnTgKode"/>
      <w:bookmarkEnd w:id="10"/>
    </w:p>
    <w:p w14:paraId="442DA988" w14:textId="77777777" w:rsidR="00DF55FA" w:rsidRDefault="00E620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11" w:name="UOFFPARAGRAF"/>
      <w:bookmarkEnd w:id="11"/>
    </w:p>
    <w:p w14:paraId="26CDA112" w14:textId="77777777" w:rsidR="00DF55FA" w:rsidRDefault="00E620B6">
      <w:pPr>
        <w:rPr>
          <w:rFonts w:ascii="Arial" w:hAnsi="Arial" w:cs="Arial"/>
          <w:sz w:val="22"/>
          <w:szCs w:val="22"/>
        </w:rPr>
      </w:pPr>
    </w:p>
    <w:p w14:paraId="39A90123" w14:textId="77777777" w:rsidR="00DF55FA" w:rsidRDefault="00E620B6">
      <w:pPr>
        <w:rPr>
          <w:rFonts w:ascii="Arial" w:hAnsi="Arial" w:cs="Arial"/>
          <w:sz w:val="22"/>
          <w:szCs w:val="22"/>
        </w:rPr>
      </w:pPr>
    </w:p>
    <w:p w14:paraId="239D6E23" w14:textId="77777777" w:rsidR="00DF55FA" w:rsidRDefault="00E620B6">
      <w:pPr>
        <w:rPr>
          <w:rFonts w:ascii="Arial" w:hAnsi="Arial" w:cs="Arial"/>
          <w:sz w:val="22"/>
          <w:szCs w:val="22"/>
        </w:rPr>
      </w:pPr>
    </w:p>
    <w:p w14:paraId="6997070F" w14:textId="77777777" w:rsidR="00DF55FA" w:rsidRDefault="00E620B6">
      <w:pPr>
        <w:rPr>
          <w:rFonts w:ascii="Arial" w:hAnsi="Arial" w:cs="Arial"/>
        </w:rPr>
      </w:pPr>
    </w:p>
    <w:p w14:paraId="61F6BC30" w14:textId="77777777" w:rsidR="00DF55FA" w:rsidRDefault="00E620B6">
      <w:pPr>
        <w:rPr>
          <w:rFonts w:ascii="Arial" w:hAnsi="Arial" w:cs="Arial"/>
        </w:rPr>
      </w:pPr>
    </w:p>
    <w:p w14:paraId="519E734D" w14:textId="77777777" w:rsidR="00DF55FA" w:rsidRPr="00D267EF" w:rsidRDefault="00E620B6">
      <w:pPr>
        <w:pStyle w:val="Bunntekst"/>
        <w:tabs>
          <w:tab w:val="clear" w:pos="4536"/>
          <w:tab w:val="clear" w:pos="9072"/>
        </w:tabs>
        <w:ind w:right="7"/>
        <w:rPr>
          <w:b/>
          <w:caps/>
        </w:rPr>
      </w:pPr>
      <w:bookmarkStart w:id="12" w:name="Tittel"/>
      <w:r w:rsidRPr="00D267EF">
        <w:rPr>
          <w:b/>
          <w:caps/>
        </w:rPr>
        <w:t xml:space="preserve">Brev med vedtak om friskmelding av Ranelva og Tverråga i Rana kommune, </w:t>
      </w:r>
      <w:r w:rsidRPr="00D267EF">
        <w:rPr>
          <w:b/>
          <w:caps/>
        </w:rPr>
        <w:t>Nordland</w:t>
      </w:r>
      <w:bookmarkEnd w:id="12"/>
    </w:p>
    <w:p w14:paraId="46BA2019" w14:textId="77777777" w:rsidR="004D5228" w:rsidRPr="00D267EF" w:rsidRDefault="00E620B6">
      <w:pPr>
        <w:pStyle w:val="Bunntekst"/>
        <w:tabs>
          <w:tab w:val="clear" w:pos="4536"/>
          <w:tab w:val="clear" w:pos="9072"/>
        </w:tabs>
        <w:ind w:right="7"/>
        <w:rPr>
          <w:b/>
          <w:caps/>
        </w:rPr>
      </w:pPr>
    </w:p>
    <w:p w14:paraId="6D6E31BA" w14:textId="77777777" w:rsidR="009F32D7" w:rsidRPr="00D267EF" w:rsidRDefault="00E620B6">
      <w:pPr>
        <w:pStyle w:val="Bunntekst"/>
        <w:tabs>
          <w:tab w:val="clear" w:pos="4536"/>
          <w:tab w:val="clear" w:pos="9072"/>
        </w:tabs>
        <w:ind w:right="7"/>
        <w:rPr>
          <w:b/>
          <w:caps/>
        </w:rPr>
      </w:pPr>
    </w:p>
    <w:p w14:paraId="377693D3" w14:textId="77777777" w:rsidR="00DF55FA" w:rsidRPr="00D267EF" w:rsidRDefault="00E620B6">
      <w:r w:rsidRPr="00D267EF">
        <w:t>Vi viser</w:t>
      </w:r>
      <w:r w:rsidRPr="00D267EF">
        <w:t xml:space="preserve"> til</w:t>
      </w:r>
      <w:r w:rsidRPr="00D267EF">
        <w:t xml:space="preserve"> båndlegging av </w:t>
      </w:r>
      <w:proofErr w:type="spellStart"/>
      <w:r w:rsidRPr="00D267EF">
        <w:t>Ranavassdraget</w:t>
      </w:r>
      <w:proofErr w:type="spellEnd"/>
      <w:r w:rsidRPr="00D267EF">
        <w:t xml:space="preserve"> </w:t>
      </w:r>
      <w:r w:rsidRPr="00D267EF">
        <w:t xml:space="preserve">august 2014, </w:t>
      </w:r>
      <w:r w:rsidRPr="00D267EF">
        <w:t xml:space="preserve">etter funn av lakseparasitten </w:t>
      </w:r>
      <w:proofErr w:type="spellStart"/>
      <w:r w:rsidRPr="00D267EF">
        <w:rPr>
          <w:i/>
          <w:iCs/>
        </w:rPr>
        <w:t>Gyrodactylus</w:t>
      </w:r>
      <w:proofErr w:type="spellEnd"/>
      <w:r w:rsidRPr="00D267EF">
        <w:rPr>
          <w:i/>
          <w:iCs/>
        </w:rPr>
        <w:t xml:space="preserve">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t xml:space="preserve"> i anadrom sone</w:t>
      </w:r>
      <w:r w:rsidRPr="00D267EF">
        <w:t>.</w:t>
      </w:r>
    </w:p>
    <w:p w14:paraId="5B11C4D1" w14:textId="77777777" w:rsidR="002D0B27" w:rsidRPr="00D267EF" w:rsidRDefault="00E620B6"/>
    <w:p w14:paraId="53B8647C" w14:textId="77777777" w:rsidR="00845A00" w:rsidRPr="00D267EF" w:rsidRDefault="00E620B6"/>
    <w:p w14:paraId="63F3CBBA" w14:textId="77777777" w:rsidR="004D719B" w:rsidRPr="00D267EF" w:rsidRDefault="00E620B6">
      <w:pPr>
        <w:rPr>
          <w:b/>
          <w:bCs/>
        </w:rPr>
      </w:pPr>
      <w:r w:rsidRPr="00D267EF">
        <w:rPr>
          <w:b/>
          <w:bCs/>
        </w:rPr>
        <w:t>Saken gjelder</w:t>
      </w:r>
      <w:r w:rsidRPr="00D267EF">
        <w:rPr>
          <w:b/>
          <w:bCs/>
        </w:rPr>
        <w:t xml:space="preserve"> elvene</w:t>
      </w:r>
    </w:p>
    <w:p w14:paraId="1ADB80E1" w14:textId="77777777" w:rsidR="00845A00" w:rsidRPr="00D267EF" w:rsidRDefault="00E620B6" w:rsidP="001526D9">
      <w:pPr>
        <w:pStyle w:val="Listeavsnitt"/>
        <w:numPr>
          <w:ilvl w:val="0"/>
          <w:numId w:val="1"/>
        </w:numPr>
        <w:rPr>
          <w:b/>
          <w:bCs/>
        </w:rPr>
      </w:pPr>
      <w:proofErr w:type="spellStart"/>
      <w:r w:rsidRPr="00D267EF">
        <w:rPr>
          <w:b/>
          <w:bCs/>
        </w:rPr>
        <w:t>Ranelva</w:t>
      </w:r>
      <w:proofErr w:type="spellEnd"/>
    </w:p>
    <w:p w14:paraId="71EBF733" w14:textId="77777777" w:rsidR="007560B0" w:rsidRPr="00D267EF" w:rsidRDefault="00E620B6" w:rsidP="007560B0">
      <w:pPr>
        <w:pStyle w:val="Listeavsnitt"/>
        <w:numPr>
          <w:ilvl w:val="0"/>
          <w:numId w:val="1"/>
        </w:numPr>
        <w:rPr>
          <w:b/>
          <w:bCs/>
        </w:rPr>
      </w:pPr>
      <w:proofErr w:type="spellStart"/>
      <w:r w:rsidRPr="00D267EF">
        <w:rPr>
          <w:b/>
          <w:bCs/>
        </w:rPr>
        <w:t>Tverråga</w:t>
      </w:r>
      <w:proofErr w:type="spellEnd"/>
    </w:p>
    <w:p w14:paraId="047759F7" w14:textId="77777777" w:rsidR="001526D9" w:rsidRPr="00D267EF" w:rsidRDefault="00E620B6" w:rsidP="001526D9">
      <w:pPr>
        <w:rPr>
          <w:b/>
          <w:bCs/>
        </w:rPr>
      </w:pPr>
    </w:p>
    <w:p w14:paraId="71C304B6" w14:textId="77777777" w:rsidR="006261BB" w:rsidRPr="00D267EF" w:rsidRDefault="00E620B6"/>
    <w:p w14:paraId="6198ABDB" w14:textId="77777777" w:rsidR="00C31C8B" w:rsidRPr="00D267EF" w:rsidRDefault="00E620B6">
      <w:r w:rsidRPr="00D267EF">
        <w:rPr>
          <w:b/>
          <w:bCs/>
        </w:rPr>
        <w:t>Om saken</w:t>
      </w:r>
    </w:p>
    <w:p w14:paraId="3905E692" w14:textId="77777777" w:rsidR="00D65587" w:rsidRPr="00D267EF" w:rsidRDefault="00E620B6">
      <w:r w:rsidRPr="00D267EF">
        <w:t xml:space="preserve">Lakseparasitten </w:t>
      </w:r>
      <w:proofErr w:type="spellStart"/>
      <w:r w:rsidRPr="00D267EF">
        <w:rPr>
          <w:i/>
          <w:iCs/>
        </w:rPr>
        <w:t>Gyrodactylus</w:t>
      </w:r>
      <w:proofErr w:type="spellEnd"/>
      <w:r w:rsidRPr="00D267EF">
        <w:rPr>
          <w:i/>
          <w:iCs/>
        </w:rPr>
        <w:t xml:space="preserve">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t xml:space="preserve"> </w:t>
      </w:r>
      <w:r w:rsidRPr="00D267EF">
        <w:t>(</w:t>
      </w:r>
      <w:r w:rsidRPr="00D267EF">
        <w:rPr>
          <w:i/>
          <w:iCs/>
        </w:rPr>
        <w:t xml:space="preserve">G.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t xml:space="preserve">) </w:t>
      </w:r>
      <w:r w:rsidRPr="00D267EF">
        <w:t xml:space="preserve">utgjør en alvorlig trussel for laksestammer i vassdragene våre, og er å regne som en alvorlig smittsom sykdom for vill laksefisk i ferskvann. Spesielt villaksen blir hardt rammet ved at parasitten fester seg til lakseyngelens gjeller, mens </w:t>
      </w:r>
      <w:r w:rsidRPr="00D267EF">
        <w:t>det er funnet at</w:t>
      </w:r>
      <w:r w:rsidRPr="00D267EF">
        <w:t xml:space="preserve"> voksen </w:t>
      </w:r>
      <w:r w:rsidRPr="00D267EF">
        <w:t xml:space="preserve">røye kan være </w:t>
      </w:r>
      <w:proofErr w:type="spellStart"/>
      <w:r w:rsidRPr="00D267EF">
        <w:t>asymptomatisk</w:t>
      </w:r>
      <w:proofErr w:type="spellEnd"/>
      <w:r w:rsidRPr="00D267EF">
        <w:t xml:space="preserve"> vert for parasitten.</w:t>
      </w:r>
    </w:p>
    <w:p w14:paraId="326B4C1A" w14:textId="77777777" w:rsidR="009F32D7" w:rsidRPr="00D267EF" w:rsidRDefault="00E620B6"/>
    <w:p w14:paraId="59534BD9" w14:textId="77777777" w:rsidR="00D65587" w:rsidRPr="00D267EF" w:rsidRDefault="00E620B6">
      <w:r w:rsidRPr="00D267EF">
        <w:t>Ved funn av parasitten er Mattilsynets hensikt å iverksette tilstrekkelige tiltak for å begrense spredning og bekjempe sykdommen.</w:t>
      </w:r>
    </w:p>
    <w:p w14:paraId="6B91ABD5" w14:textId="77777777" w:rsidR="00D65587" w:rsidRPr="00D267EF" w:rsidRDefault="00E620B6"/>
    <w:p w14:paraId="4E79E8B7" w14:textId="77777777" w:rsidR="00C31C8B" w:rsidRPr="00D267EF" w:rsidRDefault="00E620B6">
      <w:proofErr w:type="spellStart"/>
      <w:r w:rsidRPr="00D267EF">
        <w:t>Ranavassdraget</w:t>
      </w:r>
      <w:proofErr w:type="spellEnd"/>
      <w:r w:rsidRPr="00D267EF">
        <w:t xml:space="preserve"> fikk påvist lakseparasitten </w:t>
      </w:r>
      <w:r w:rsidRPr="00D267EF">
        <w:t xml:space="preserve">første gang </w:t>
      </w:r>
      <w:r w:rsidRPr="00D267EF">
        <w:t>i 1975, og f</w:t>
      </w:r>
      <w:r w:rsidRPr="00D267EF">
        <w:t>lere elver og bekker fikk etter hvert påvist tilsvarende forekomst. Det ble foretatt rotenonbehandlinger i 2003 og 2004, og vassdragene ble friskmeldt i 2009.</w:t>
      </w:r>
    </w:p>
    <w:p w14:paraId="35E18255" w14:textId="77777777" w:rsidR="009F32D7" w:rsidRPr="00D267EF" w:rsidRDefault="00E620B6"/>
    <w:p w14:paraId="2751C628" w14:textId="77777777" w:rsidR="00C31C8B" w:rsidRPr="00D267EF" w:rsidRDefault="00E620B6">
      <w:r w:rsidRPr="00D267EF">
        <w:t>Høsten 2014 ble lakseparasitten påvist på ny</w:t>
      </w:r>
      <w:r w:rsidRPr="00D267EF">
        <w:t xml:space="preserve"> i </w:t>
      </w:r>
      <w:proofErr w:type="spellStart"/>
      <w:r w:rsidRPr="00D267EF">
        <w:t>Ranelva</w:t>
      </w:r>
      <w:proofErr w:type="spellEnd"/>
      <w:r w:rsidRPr="00D267EF">
        <w:t xml:space="preserve"> og </w:t>
      </w:r>
      <w:proofErr w:type="spellStart"/>
      <w:r w:rsidRPr="00D267EF">
        <w:t>Tverråga</w:t>
      </w:r>
      <w:proofErr w:type="spellEnd"/>
      <w:r w:rsidRPr="00D267EF">
        <w:t>,</w:t>
      </w:r>
      <w:r w:rsidRPr="00D267EF">
        <w:t xml:space="preserve"> og</w:t>
      </w:r>
      <w:r w:rsidRPr="00D267EF">
        <w:t xml:space="preserve"> i </w:t>
      </w:r>
      <w:proofErr w:type="spellStart"/>
      <w:r w:rsidRPr="00D267EF">
        <w:t>sidebekkene</w:t>
      </w:r>
      <w:proofErr w:type="spellEnd"/>
      <w:r w:rsidRPr="00D267EF">
        <w:t xml:space="preserve"> </w:t>
      </w:r>
      <w:proofErr w:type="spellStart"/>
      <w:r w:rsidRPr="00D267EF">
        <w:t>Steinbekken</w:t>
      </w:r>
      <w:proofErr w:type="spellEnd"/>
      <w:r w:rsidRPr="00D267EF">
        <w:t xml:space="preserve"> og </w:t>
      </w:r>
      <w:proofErr w:type="spellStart"/>
      <w:r w:rsidRPr="00D267EF">
        <w:t>Yttrabekken</w:t>
      </w:r>
      <w:proofErr w:type="spellEnd"/>
      <w:r w:rsidRPr="00D267EF">
        <w:t>. Behandlinger ble foretatt i 2014 og 2015.</w:t>
      </w:r>
    </w:p>
    <w:p w14:paraId="072BA6C1" w14:textId="77777777" w:rsidR="00C31C8B" w:rsidRPr="00D267EF" w:rsidRDefault="00E620B6"/>
    <w:p w14:paraId="30A8F2C3" w14:textId="77777777" w:rsidR="004D719B" w:rsidRDefault="00E620B6">
      <w:r w:rsidRPr="00D267EF">
        <w:t>Mattilsynet har den 30.11.2020 mottatt en rapport fra Veterinærinstituttet med underliggende dokumentasjon. Rapporten konkluderer med en anbefaling om friskmelding av vassdraget.</w:t>
      </w:r>
    </w:p>
    <w:p w14:paraId="5C75E29A" w14:textId="77777777" w:rsidR="003A0716" w:rsidRDefault="00E620B6"/>
    <w:p w14:paraId="31831DE4" w14:textId="77777777" w:rsidR="00D267EF" w:rsidRPr="00D267EF" w:rsidRDefault="00E620B6"/>
    <w:p w14:paraId="0E1E758B" w14:textId="77777777" w:rsidR="00B3016E" w:rsidRPr="00D267EF" w:rsidRDefault="00E620B6"/>
    <w:p w14:paraId="41901470" w14:textId="77777777" w:rsidR="001526D9" w:rsidRPr="00D267EF" w:rsidRDefault="00E620B6">
      <w:pPr>
        <w:rPr>
          <w:b/>
          <w:bCs/>
        </w:rPr>
      </w:pPr>
      <w:r w:rsidRPr="00D267EF">
        <w:rPr>
          <w:b/>
          <w:bCs/>
        </w:rPr>
        <w:t>Vedtak</w:t>
      </w:r>
      <w:r w:rsidRPr="00D267EF">
        <w:rPr>
          <w:b/>
          <w:bCs/>
        </w:rPr>
        <w:t xml:space="preserve"> om </w:t>
      </w:r>
      <w:r w:rsidRPr="00D267EF">
        <w:rPr>
          <w:b/>
          <w:bCs/>
        </w:rPr>
        <w:t>friskmelding</w:t>
      </w:r>
    </w:p>
    <w:p w14:paraId="4F6CD657" w14:textId="77777777" w:rsidR="001526D9" w:rsidRPr="00D267EF" w:rsidRDefault="00E620B6">
      <w:r w:rsidRPr="00D267EF">
        <w:t xml:space="preserve">Mattilsynet friskmelder </w:t>
      </w:r>
      <w:proofErr w:type="spellStart"/>
      <w:r w:rsidRPr="00D267EF">
        <w:t>Ranavassdraget</w:t>
      </w:r>
      <w:proofErr w:type="spellEnd"/>
      <w:r w:rsidRPr="00D267EF">
        <w:t xml:space="preserve"> </w:t>
      </w:r>
      <w:r w:rsidRPr="00D267EF">
        <w:t>med sideelver. Vi</w:t>
      </w:r>
      <w:r w:rsidRPr="00D267EF">
        <w:t xml:space="preserve"> opphever restriksjonene </w:t>
      </w:r>
      <w:r w:rsidRPr="00D267EF">
        <w:t xml:space="preserve">som ble pålagt </w:t>
      </w:r>
      <w:r w:rsidRPr="00D267EF">
        <w:t xml:space="preserve">på grunn av </w:t>
      </w:r>
      <w:r w:rsidRPr="00D267EF">
        <w:rPr>
          <w:i/>
          <w:iCs/>
        </w:rPr>
        <w:t xml:space="preserve">G.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t xml:space="preserve"> </w:t>
      </w:r>
      <w:r w:rsidRPr="00D267EF">
        <w:t xml:space="preserve">i 2014, </w:t>
      </w:r>
      <w:r w:rsidRPr="00D267EF">
        <w:t>med umiddelbar virkning.</w:t>
      </w:r>
    </w:p>
    <w:p w14:paraId="1D67B6A7" w14:textId="77777777" w:rsidR="0011698C" w:rsidRPr="00D267EF" w:rsidRDefault="00E620B6"/>
    <w:p w14:paraId="2ED6DF7D" w14:textId="77777777" w:rsidR="00190654" w:rsidRPr="00D267EF" w:rsidRDefault="00E620B6">
      <w:r w:rsidRPr="00D267EF">
        <w:t xml:space="preserve">Vedtaket er fattet med hjemmel </w:t>
      </w:r>
      <w:r w:rsidRPr="00D267EF">
        <w:t xml:space="preserve">i forskrift om bekjempelse av lakseparasitt i </w:t>
      </w:r>
      <w:r w:rsidRPr="00D267EF">
        <w:t>Nordland § 12</w:t>
      </w:r>
      <w:r w:rsidRPr="00D267EF">
        <w:t xml:space="preserve">, </w:t>
      </w:r>
      <w:proofErr w:type="spellStart"/>
      <w:r w:rsidRPr="00D267EF">
        <w:t>jf</w:t>
      </w:r>
      <w:proofErr w:type="spellEnd"/>
      <w:r w:rsidRPr="00D267EF">
        <w:t xml:space="preserve"> matloven § 23.</w:t>
      </w:r>
    </w:p>
    <w:p w14:paraId="04488871" w14:textId="77777777" w:rsidR="00A45EED" w:rsidRDefault="00E620B6"/>
    <w:p w14:paraId="6DA71C35" w14:textId="77777777" w:rsidR="00D267EF" w:rsidRPr="00D267EF" w:rsidRDefault="00E620B6"/>
    <w:p w14:paraId="3EF21032" w14:textId="77777777" w:rsidR="00A45EED" w:rsidRPr="00D267EF" w:rsidRDefault="00E620B6">
      <w:pPr>
        <w:rPr>
          <w:i/>
          <w:iCs/>
          <w:u w:val="single"/>
        </w:rPr>
      </w:pPr>
      <w:r w:rsidRPr="00D267EF">
        <w:rPr>
          <w:u w:val="single"/>
        </w:rPr>
        <w:t xml:space="preserve">Reglene som gjelder </w:t>
      </w:r>
      <w:r w:rsidRPr="00D267EF">
        <w:rPr>
          <w:u w:val="single"/>
        </w:rPr>
        <w:t>ved forekomst</w:t>
      </w:r>
      <w:r w:rsidRPr="00D267EF">
        <w:rPr>
          <w:u w:val="single"/>
        </w:rPr>
        <w:t xml:space="preserve"> av lakseparasitten </w:t>
      </w:r>
      <w:proofErr w:type="spellStart"/>
      <w:r w:rsidRPr="00D267EF">
        <w:rPr>
          <w:i/>
          <w:iCs/>
          <w:u w:val="single"/>
        </w:rPr>
        <w:t>Gyrodactylus</w:t>
      </w:r>
      <w:proofErr w:type="spellEnd"/>
      <w:r w:rsidRPr="00D267EF">
        <w:rPr>
          <w:i/>
          <w:iCs/>
          <w:u w:val="single"/>
        </w:rPr>
        <w:t xml:space="preserve"> </w:t>
      </w:r>
      <w:proofErr w:type="spellStart"/>
      <w:r w:rsidRPr="00D267EF">
        <w:rPr>
          <w:i/>
          <w:iCs/>
          <w:u w:val="single"/>
        </w:rPr>
        <w:t>salaris</w:t>
      </w:r>
      <w:proofErr w:type="spellEnd"/>
    </w:p>
    <w:p w14:paraId="67641A37" w14:textId="77777777" w:rsidR="00190654" w:rsidRPr="00D267EF" w:rsidRDefault="00E620B6">
      <w:r w:rsidRPr="00D267EF">
        <w:t xml:space="preserve">Det er omsetnings- og sykdomsforskriften, akvatiske dyr, som sier at det kan fastsettes en forskrift for et område når sykdommen påvises. </w:t>
      </w:r>
      <w:r w:rsidRPr="00D267EF">
        <w:t>Områdef</w:t>
      </w:r>
      <w:r w:rsidRPr="00D267EF">
        <w:t>or</w:t>
      </w:r>
      <w:r w:rsidRPr="00D267EF">
        <w:t>skriften har som formål å forebygge, begrense og utrydde sykdommen</w:t>
      </w:r>
      <w:r w:rsidRPr="00D267EF">
        <w:t xml:space="preserve"> i det bestemte virkeområdet</w:t>
      </w:r>
      <w:r w:rsidRPr="00D267EF">
        <w:t>.</w:t>
      </w:r>
    </w:p>
    <w:p w14:paraId="064E97D6" w14:textId="77777777" w:rsidR="00190654" w:rsidRPr="00D267EF" w:rsidRDefault="00E620B6"/>
    <w:p w14:paraId="102396C8" w14:textId="77777777" w:rsidR="009F32D7" w:rsidRPr="00D267EF" w:rsidRDefault="00E620B6"/>
    <w:p w14:paraId="405C2650" w14:textId="77777777" w:rsidR="00190654" w:rsidRPr="00D267EF" w:rsidRDefault="00E620B6">
      <w:r w:rsidRPr="00D267EF">
        <w:rPr>
          <w:u w:val="single"/>
        </w:rPr>
        <w:t>Vi har observert:</w:t>
      </w:r>
    </w:p>
    <w:p w14:paraId="2A36929F" w14:textId="77777777" w:rsidR="00BF67A2" w:rsidRPr="00D267EF" w:rsidRDefault="00E620B6">
      <w:r w:rsidRPr="00D267EF">
        <w:t xml:space="preserve">Lakseparasitten </w:t>
      </w:r>
      <w:r w:rsidRPr="00D267EF">
        <w:rPr>
          <w:i/>
          <w:iCs/>
        </w:rPr>
        <w:t>G</w:t>
      </w:r>
      <w:r w:rsidRPr="00D267EF">
        <w:rPr>
          <w:i/>
          <w:iCs/>
        </w:rPr>
        <w:t xml:space="preserve">.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rPr>
          <w:i/>
          <w:iCs/>
        </w:rPr>
        <w:t xml:space="preserve"> </w:t>
      </w:r>
      <w:r w:rsidRPr="00D267EF">
        <w:t xml:space="preserve">ble påvist på </w:t>
      </w:r>
      <w:r w:rsidRPr="00D267EF">
        <w:t xml:space="preserve">innsamlet yngel fra </w:t>
      </w:r>
      <w:proofErr w:type="spellStart"/>
      <w:r w:rsidRPr="00D267EF">
        <w:t>Tverråga</w:t>
      </w:r>
      <w:proofErr w:type="spellEnd"/>
      <w:r w:rsidRPr="00D267EF">
        <w:t xml:space="preserve"> i august 2014. Yngelen ble innsamlet i regi av Veterinærinstituttet og</w:t>
      </w:r>
      <w:r w:rsidRPr="00D267EF">
        <w:t xml:space="preserve"> </w:t>
      </w:r>
      <w:r w:rsidRPr="00D267EF">
        <w:t>o</w:t>
      </w:r>
      <w:r w:rsidRPr="00D267EF">
        <w:t>vervåknings</w:t>
      </w:r>
      <w:r w:rsidRPr="00D267EF">
        <w:t>- og kontroll</w:t>
      </w:r>
      <w:r w:rsidRPr="00D267EF">
        <w:t>program</w:t>
      </w:r>
      <w:r w:rsidRPr="00D267EF">
        <w:t>met</w:t>
      </w:r>
      <w:r w:rsidRPr="00D267EF">
        <w:t xml:space="preserve"> (OK-programmet)</w:t>
      </w:r>
      <w:r w:rsidRPr="00D267EF">
        <w:t xml:space="preserve"> for </w:t>
      </w:r>
      <w:proofErr w:type="spellStart"/>
      <w:r w:rsidRPr="00D267EF">
        <w:rPr>
          <w:i/>
          <w:iCs/>
        </w:rPr>
        <w:t>Gyrodactylus</w:t>
      </w:r>
      <w:proofErr w:type="spellEnd"/>
      <w:r w:rsidRPr="00D267EF">
        <w:rPr>
          <w:i/>
          <w:iCs/>
        </w:rPr>
        <w:t xml:space="preserve">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t xml:space="preserve"> 2014.</w:t>
      </w:r>
    </w:p>
    <w:p w14:paraId="0AA3A326" w14:textId="77777777" w:rsidR="006261BB" w:rsidRPr="00D267EF" w:rsidRDefault="00E620B6"/>
    <w:p w14:paraId="42B6A3EC" w14:textId="77777777" w:rsidR="003A0716" w:rsidRDefault="00E620B6">
      <w:r>
        <w:t>Det ble umiddelbart iverksatt</w:t>
      </w:r>
      <w:r w:rsidRPr="00D267EF">
        <w:t xml:space="preserve"> utvidet fiske i omkringliggende sidevassdrag</w:t>
      </w:r>
      <w:r>
        <w:t>, samt</w:t>
      </w:r>
      <w:r w:rsidRPr="00D267EF">
        <w:t xml:space="preserve"> ovenfor anadrom sone</w:t>
      </w:r>
      <w:r w:rsidRPr="00D267EF">
        <w:t xml:space="preserve"> av </w:t>
      </w:r>
      <w:proofErr w:type="spellStart"/>
      <w:r w:rsidRPr="00D267EF">
        <w:t>Ranelva</w:t>
      </w:r>
      <w:proofErr w:type="spellEnd"/>
      <w:r w:rsidRPr="00D267EF">
        <w:t xml:space="preserve"> og </w:t>
      </w:r>
      <w:proofErr w:type="spellStart"/>
      <w:r w:rsidRPr="00D267EF">
        <w:t>Tverråga</w:t>
      </w:r>
      <w:proofErr w:type="spellEnd"/>
      <w:r>
        <w:t>.</w:t>
      </w:r>
    </w:p>
    <w:p w14:paraId="73BB7AA2" w14:textId="77777777" w:rsidR="006261BB" w:rsidRPr="00D267EF" w:rsidRDefault="00E620B6">
      <w:r>
        <w:t>R</w:t>
      </w:r>
      <w:r w:rsidRPr="00D267EF">
        <w:t>otenonbehandling av</w:t>
      </w:r>
      <w:r w:rsidRPr="00D267EF">
        <w:t xml:space="preserve"> </w:t>
      </w:r>
      <w:proofErr w:type="spellStart"/>
      <w:r w:rsidRPr="00D267EF">
        <w:t>elvesoner</w:t>
      </w:r>
      <w:proofErr w:type="spellEnd"/>
      <w:r w:rsidRPr="00D267EF">
        <w:t xml:space="preserve"> og bekker </w:t>
      </w:r>
      <w:r>
        <w:t>ble utført i 2014 og 2015, i henhold til vårt vedtak</w:t>
      </w:r>
      <w:r w:rsidRPr="00D267EF">
        <w:t xml:space="preserve"> </w:t>
      </w:r>
      <w:r>
        <w:t>av 15.9.2014 (vår sak 2014/202096).</w:t>
      </w:r>
    </w:p>
    <w:p w14:paraId="7A5C9A40" w14:textId="77777777" w:rsidR="00E6127C" w:rsidRPr="00D267EF" w:rsidRDefault="00E620B6"/>
    <w:p w14:paraId="4D967DC3" w14:textId="77777777" w:rsidR="000F05CC" w:rsidRPr="00D267EF" w:rsidRDefault="00E620B6">
      <w:r w:rsidRPr="00D267EF">
        <w:t xml:space="preserve">I perioden 2016 – 2020 er det samlet inn fisk fra </w:t>
      </w:r>
      <w:proofErr w:type="spellStart"/>
      <w:r w:rsidRPr="00D267EF">
        <w:t>Ranelva</w:t>
      </w:r>
      <w:proofErr w:type="spellEnd"/>
      <w:r w:rsidRPr="00D267EF">
        <w:t xml:space="preserve"> og </w:t>
      </w:r>
      <w:proofErr w:type="spellStart"/>
      <w:r w:rsidRPr="00D267EF">
        <w:t>Tverråga</w:t>
      </w:r>
      <w:proofErr w:type="spellEnd"/>
      <w:r w:rsidRPr="00D267EF">
        <w:t xml:space="preserve"> i tråd med Friskmeldingsprogrammet (FM-programmet) for </w:t>
      </w:r>
      <w:proofErr w:type="spellStart"/>
      <w:r w:rsidRPr="00D267EF">
        <w:rPr>
          <w:i/>
          <w:iCs/>
        </w:rPr>
        <w:t>Gyrodactylus</w:t>
      </w:r>
      <w:proofErr w:type="spellEnd"/>
      <w:r w:rsidRPr="00D267EF">
        <w:rPr>
          <w:i/>
          <w:iCs/>
        </w:rPr>
        <w:t xml:space="preserve">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t>. All fisk undersøkes for å avdekke forekomst av lakseparasitten.</w:t>
      </w:r>
    </w:p>
    <w:p w14:paraId="21638D10" w14:textId="77777777" w:rsidR="00E6127C" w:rsidRPr="00D267EF" w:rsidRDefault="00E620B6">
      <w:r w:rsidRPr="00D267EF">
        <w:t xml:space="preserve">I </w:t>
      </w:r>
      <w:r w:rsidRPr="00D267EF">
        <w:t xml:space="preserve">november 2020 ble det også tatt ut vannprøver fra tre stasjoner i </w:t>
      </w:r>
      <w:proofErr w:type="spellStart"/>
      <w:r w:rsidRPr="00D267EF">
        <w:t>Pluravassdraget</w:t>
      </w:r>
      <w:proofErr w:type="spellEnd"/>
      <w:r w:rsidRPr="00D267EF">
        <w:t>, med hensikt på DNA-undersøkelser for</w:t>
      </w:r>
      <w:r w:rsidRPr="00D267EF">
        <w:t xml:space="preserve"> å avdekke eventuell</w:t>
      </w:r>
      <w:r w:rsidRPr="00D267EF">
        <w:t xml:space="preserve"> forekomst av regnbueørret og </w:t>
      </w:r>
      <w:r w:rsidRPr="00D267EF">
        <w:rPr>
          <w:i/>
          <w:iCs/>
        </w:rPr>
        <w:t>G</w:t>
      </w:r>
      <w:r w:rsidRPr="00D267EF">
        <w:rPr>
          <w:i/>
          <w:iCs/>
        </w:rPr>
        <w:t xml:space="preserve">.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t>.</w:t>
      </w:r>
    </w:p>
    <w:p w14:paraId="032775E2" w14:textId="77777777" w:rsidR="00D267EF" w:rsidRPr="00D267EF" w:rsidRDefault="00E620B6"/>
    <w:p w14:paraId="1BE21521" w14:textId="77777777" w:rsidR="00BF67A2" w:rsidRPr="00D267EF" w:rsidRDefault="00E620B6"/>
    <w:p w14:paraId="4B51450B" w14:textId="77777777" w:rsidR="00BF67A2" w:rsidRPr="00D267EF" w:rsidRDefault="00E620B6">
      <w:r w:rsidRPr="00D267EF">
        <w:rPr>
          <w:u w:val="single"/>
        </w:rPr>
        <w:t>Vi vu</w:t>
      </w:r>
      <w:r w:rsidRPr="00D267EF">
        <w:rPr>
          <w:u w:val="single"/>
        </w:rPr>
        <w:t>rderer dette slik:</w:t>
      </w:r>
    </w:p>
    <w:p w14:paraId="07D28E5E" w14:textId="77777777" w:rsidR="000F05CC" w:rsidRPr="00D267EF" w:rsidRDefault="00E620B6">
      <w:pPr>
        <w:rPr>
          <w:color w:val="333333"/>
          <w:shd w:val="clear" w:color="auto" w:fill="FFFFFF"/>
        </w:rPr>
      </w:pPr>
      <w:r w:rsidRPr="00D267EF">
        <w:t xml:space="preserve">Forskrift om bekjempelse av lakseparasitt i Nordland </w:t>
      </w:r>
      <w:r w:rsidRPr="00D267EF">
        <w:t xml:space="preserve">sier i § </w:t>
      </w:r>
      <w:r w:rsidRPr="00D267EF">
        <w:t>12 at «</w:t>
      </w:r>
      <w:r w:rsidRPr="00D267EF">
        <w:rPr>
          <w:color w:val="333333"/>
          <w:shd w:val="clear" w:color="auto" w:fill="FFFFFF"/>
        </w:rPr>
        <w:t xml:space="preserve">Mattilsynet fører tilsyn med og fatter de nødvendige enkeltvedtak for å gjennomføre bestemmelsene gitt i og i </w:t>
      </w:r>
      <w:proofErr w:type="gramStart"/>
      <w:r w:rsidRPr="00D267EF">
        <w:rPr>
          <w:color w:val="333333"/>
          <w:shd w:val="clear" w:color="auto" w:fill="FFFFFF"/>
        </w:rPr>
        <w:t>medhold av</w:t>
      </w:r>
      <w:proofErr w:type="gramEnd"/>
      <w:r w:rsidRPr="00D267EF">
        <w:rPr>
          <w:color w:val="333333"/>
          <w:shd w:val="clear" w:color="auto" w:fill="FFFFFF"/>
        </w:rPr>
        <w:t xml:space="preserve"> denne forskriften, i samsvar med matlovens § 23</w:t>
      </w:r>
      <w:r w:rsidRPr="00D267EF">
        <w:rPr>
          <w:color w:val="333333"/>
          <w:shd w:val="clear" w:color="auto" w:fill="FFFFFF"/>
        </w:rPr>
        <w:t xml:space="preserve"> om tilsyn og vedtak.</w:t>
      </w:r>
      <w:r w:rsidRPr="00D267EF">
        <w:rPr>
          <w:color w:val="333333"/>
          <w:shd w:val="clear" w:color="auto" w:fill="FFFFFF"/>
        </w:rPr>
        <w:t>»</w:t>
      </w:r>
    </w:p>
    <w:p w14:paraId="33AC57AF" w14:textId="77777777" w:rsidR="00690726" w:rsidRPr="00D267EF" w:rsidRDefault="00E620B6">
      <w:pPr>
        <w:rPr>
          <w:color w:val="333333"/>
          <w:shd w:val="clear" w:color="auto" w:fill="FFFFFF"/>
        </w:rPr>
      </w:pPr>
    </w:p>
    <w:p w14:paraId="75AC9C81" w14:textId="77777777" w:rsidR="006261BB" w:rsidRPr="00D267EF" w:rsidRDefault="00E620B6" w:rsidP="006261BB">
      <w:r w:rsidRPr="00D267EF">
        <w:t>Det er Mattilsynet som kan friskmelde elver som har hatt alvorlig smittsom sykdom, etter vurdering av dokumentasjon som vise</w:t>
      </w:r>
      <w:r>
        <w:t>r</w:t>
      </w:r>
      <w:r w:rsidRPr="00D267EF">
        <w:t xml:space="preserve"> at sykdommen kan være utryddet.</w:t>
      </w:r>
    </w:p>
    <w:p w14:paraId="79FCE916" w14:textId="77777777" w:rsidR="00E6493F" w:rsidRDefault="00E620B6" w:rsidP="006261BB"/>
    <w:p w14:paraId="7686E44E" w14:textId="77777777" w:rsidR="00436AC9" w:rsidRPr="00D267EF" w:rsidRDefault="00E620B6" w:rsidP="006261BB"/>
    <w:p w14:paraId="2FF17328" w14:textId="77777777" w:rsidR="00B20924" w:rsidRDefault="00E620B6" w:rsidP="00B20924">
      <w:pPr>
        <w:rPr>
          <w:i/>
          <w:iCs/>
        </w:rPr>
      </w:pPr>
      <w:r w:rsidRPr="00D267EF">
        <w:rPr>
          <w:i/>
          <w:iCs/>
        </w:rPr>
        <w:t>Dokumentasjon som vi legger til grunn i saken:</w:t>
      </w:r>
    </w:p>
    <w:p w14:paraId="5CDB91E2" w14:textId="77777777" w:rsidR="00B20924" w:rsidRPr="00D267EF" w:rsidRDefault="00E620B6" w:rsidP="00B20924">
      <w:pPr>
        <w:pStyle w:val="Listeavsnitt"/>
        <w:numPr>
          <w:ilvl w:val="0"/>
          <w:numId w:val="2"/>
        </w:numPr>
      </w:pPr>
      <w:r w:rsidRPr="00D267EF">
        <w:t xml:space="preserve">Rapport 11 – 2016: Bekjempelse av </w:t>
      </w:r>
      <w:proofErr w:type="spellStart"/>
      <w:r w:rsidRPr="00D267EF">
        <w:rPr>
          <w:i/>
          <w:iCs/>
        </w:rPr>
        <w:t>Gyrodactylus</w:t>
      </w:r>
      <w:proofErr w:type="spellEnd"/>
      <w:r w:rsidRPr="00D267EF">
        <w:rPr>
          <w:i/>
          <w:iCs/>
        </w:rPr>
        <w:t xml:space="preserve">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t xml:space="preserve"> i </w:t>
      </w:r>
      <w:proofErr w:type="spellStart"/>
      <w:r w:rsidRPr="00D267EF">
        <w:t>Ranaelva</w:t>
      </w:r>
      <w:proofErr w:type="spellEnd"/>
    </w:p>
    <w:p w14:paraId="6E786876" w14:textId="77777777" w:rsidR="00B20924" w:rsidRPr="00D267EF" w:rsidRDefault="00E620B6" w:rsidP="00B20924">
      <w:pPr>
        <w:pStyle w:val="Listeavsnitt"/>
        <w:numPr>
          <w:ilvl w:val="0"/>
          <w:numId w:val="2"/>
        </w:numPr>
      </w:pPr>
      <w:r w:rsidRPr="00D267EF">
        <w:t xml:space="preserve">Årlig rapport 9 - 2018: Kartlegging av smittestatus av </w:t>
      </w:r>
      <w:proofErr w:type="spellStart"/>
      <w:r w:rsidRPr="00D267EF">
        <w:rPr>
          <w:i/>
          <w:iCs/>
        </w:rPr>
        <w:t>Gyrodactylus</w:t>
      </w:r>
      <w:proofErr w:type="spellEnd"/>
      <w:r w:rsidRPr="00D267EF">
        <w:rPr>
          <w:i/>
          <w:iCs/>
        </w:rPr>
        <w:t xml:space="preserve">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t xml:space="preserve"> i </w:t>
      </w:r>
      <w:proofErr w:type="spellStart"/>
      <w:r w:rsidRPr="00D267EF">
        <w:t>Ranelva</w:t>
      </w:r>
      <w:proofErr w:type="spellEnd"/>
      <w:r w:rsidRPr="00D267EF">
        <w:t xml:space="preserve"> i perioden 2014-2017.</w:t>
      </w:r>
    </w:p>
    <w:p w14:paraId="1C4C5D26" w14:textId="77777777" w:rsidR="00B20924" w:rsidRPr="00D267EF" w:rsidRDefault="00E620B6" w:rsidP="00B20924">
      <w:pPr>
        <w:pStyle w:val="Listeavsnitt"/>
        <w:numPr>
          <w:ilvl w:val="0"/>
          <w:numId w:val="2"/>
        </w:numPr>
      </w:pPr>
      <w:r w:rsidRPr="00D267EF">
        <w:t>Brukerhenvendelser til avdeling Helgeland for å kunne organisere salg av fiskekort</w:t>
      </w:r>
      <w:r w:rsidRPr="00D267EF">
        <w:t>, og våre tillatelser til fiske i bekjempelsesområdet under FM-perioden.</w:t>
      </w:r>
    </w:p>
    <w:p w14:paraId="389E2C09" w14:textId="77777777" w:rsidR="00B20924" w:rsidRPr="00D267EF" w:rsidRDefault="00E620B6" w:rsidP="00B20924">
      <w:pPr>
        <w:pStyle w:val="Listeavsnitt"/>
        <w:numPr>
          <w:ilvl w:val="0"/>
          <w:numId w:val="2"/>
        </w:numPr>
      </w:pPr>
      <w:r w:rsidRPr="00D267EF">
        <w:t xml:space="preserve">FM-program for </w:t>
      </w:r>
      <w:proofErr w:type="spellStart"/>
      <w:r w:rsidRPr="00D267EF">
        <w:rPr>
          <w:i/>
          <w:iCs/>
        </w:rPr>
        <w:t>Gyrodactylus</w:t>
      </w:r>
      <w:proofErr w:type="spellEnd"/>
      <w:r w:rsidRPr="00D267EF">
        <w:rPr>
          <w:i/>
          <w:iCs/>
        </w:rPr>
        <w:t xml:space="preserve">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t xml:space="preserve"> (Veterinærinstituttet)</w:t>
      </w:r>
    </w:p>
    <w:p w14:paraId="270C15B6" w14:textId="77777777" w:rsidR="00B20924" w:rsidRPr="00D267EF" w:rsidRDefault="00E620B6" w:rsidP="00B20924">
      <w:pPr>
        <w:pStyle w:val="Listeavsnitt"/>
        <w:numPr>
          <w:ilvl w:val="0"/>
          <w:numId w:val="2"/>
        </w:numPr>
      </w:pPr>
      <w:r w:rsidRPr="00D267EF">
        <w:t xml:space="preserve">OK-program for </w:t>
      </w:r>
      <w:proofErr w:type="spellStart"/>
      <w:r w:rsidRPr="00D267EF">
        <w:rPr>
          <w:i/>
          <w:iCs/>
        </w:rPr>
        <w:t>Gyrodactylus</w:t>
      </w:r>
      <w:proofErr w:type="spellEnd"/>
      <w:r w:rsidRPr="00D267EF">
        <w:rPr>
          <w:i/>
          <w:iCs/>
        </w:rPr>
        <w:t xml:space="preserve">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t xml:space="preserve"> (Veterinærinstituttet og Mattilsynet)</w:t>
      </w:r>
    </w:p>
    <w:p w14:paraId="15A9A2B0" w14:textId="77777777" w:rsidR="00B20924" w:rsidRPr="00D267EF" w:rsidRDefault="00E620B6" w:rsidP="00B20924">
      <w:pPr>
        <w:pStyle w:val="Listeavsnitt"/>
        <w:numPr>
          <w:ilvl w:val="0"/>
          <w:numId w:val="2"/>
        </w:numPr>
      </w:pPr>
      <w:r w:rsidRPr="00D267EF">
        <w:t>Rapport fra Veterinærinstituttet av 19.11.2020 - U</w:t>
      </w:r>
      <w:r w:rsidRPr="00D267EF">
        <w:t xml:space="preserve">nderliggende dokumentasjon til vurdering av smittestatus i </w:t>
      </w:r>
      <w:proofErr w:type="spellStart"/>
      <w:r w:rsidRPr="00D267EF">
        <w:t>Ranelva</w:t>
      </w:r>
      <w:proofErr w:type="spellEnd"/>
      <w:r w:rsidRPr="00D267EF">
        <w:t xml:space="preserve"> og </w:t>
      </w:r>
      <w:proofErr w:type="spellStart"/>
      <w:r w:rsidRPr="00D267EF">
        <w:t>Tverråga</w:t>
      </w:r>
      <w:proofErr w:type="spellEnd"/>
      <w:r w:rsidRPr="00D267EF">
        <w:t>, Rana kommune Nordland.</w:t>
      </w:r>
    </w:p>
    <w:p w14:paraId="27D2FCED" w14:textId="77777777" w:rsidR="00BB6722" w:rsidRPr="00D267EF" w:rsidRDefault="00E620B6" w:rsidP="006261BB"/>
    <w:p w14:paraId="643DD268" w14:textId="77777777" w:rsidR="00436AC9" w:rsidRDefault="00E620B6" w:rsidP="00BB6722">
      <w:pPr>
        <w:rPr>
          <w:u w:val="single"/>
        </w:rPr>
      </w:pPr>
    </w:p>
    <w:p w14:paraId="32BDD678" w14:textId="77777777" w:rsidR="00436AC9" w:rsidRDefault="00E620B6" w:rsidP="00BB6722">
      <w:pPr>
        <w:rPr>
          <w:u w:val="single"/>
        </w:rPr>
      </w:pPr>
    </w:p>
    <w:p w14:paraId="37D988A5" w14:textId="77777777" w:rsidR="00BB6722" w:rsidRPr="00436AC9" w:rsidRDefault="00E620B6" w:rsidP="00BB6722">
      <w:pPr>
        <w:rPr>
          <w:i/>
          <w:iCs/>
          <w:u w:val="single"/>
        </w:rPr>
      </w:pPr>
      <w:r w:rsidRPr="00436AC9">
        <w:rPr>
          <w:i/>
          <w:iCs/>
          <w:u w:val="single"/>
        </w:rPr>
        <w:lastRenderedPageBreak/>
        <w:t>Samarbeid og dialog:</w:t>
      </w:r>
    </w:p>
    <w:p w14:paraId="2F5BED9F" w14:textId="77777777" w:rsidR="00BB6722" w:rsidRPr="00D267EF" w:rsidRDefault="00E620B6" w:rsidP="00BB6722">
      <w:r w:rsidRPr="00D267EF">
        <w:t>I perioden fra 2014 har Mattilsynet hatt tett dialog med samarbeidsetater gjennom en koordineringsgruppe bestående av representan</w:t>
      </w:r>
      <w:r w:rsidRPr="00D267EF">
        <w:t>ter fra Fylkesmannen for Nordlands miljøavdeling, Miljødirektoratet, Veterinærinstituttet og Mattilsynet.</w:t>
      </w:r>
    </w:p>
    <w:p w14:paraId="74B7B1C5" w14:textId="77777777" w:rsidR="00BB6722" w:rsidRPr="00D267EF" w:rsidRDefault="00E620B6" w:rsidP="00BB6722"/>
    <w:p w14:paraId="462BB792" w14:textId="77777777" w:rsidR="00BB6722" w:rsidRPr="00D267EF" w:rsidRDefault="00E620B6" w:rsidP="00BB6722">
      <w:r w:rsidRPr="00D267EF">
        <w:t xml:space="preserve">Mattilsynet har også hatt tett dialog med lokale interessenter av </w:t>
      </w:r>
      <w:proofErr w:type="spellStart"/>
      <w:r w:rsidRPr="00D267EF">
        <w:t>Ranavassdraget</w:t>
      </w:r>
      <w:proofErr w:type="spellEnd"/>
      <w:r w:rsidRPr="00D267EF">
        <w:t xml:space="preserve">; </w:t>
      </w:r>
      <w:r>
        <w:t>g</w:t>
      </w:r>
      <w:r w:rsidRPr="00D267EF">
        <w:t xml:space="preserve">runneierlag og </w:t>
      </w:r>
      <w:proofErr w:type="spellStart"/>
      <w:r>
        <w:t>e</w:t>
      </w:r>
      <w:r w:rsidRPr="00D267EF">
        <w:t>lveierlag</w:t>
      </w:r>
      <w:proofErr w:type="spellEnd"/>
      <w:r w:rsidRPr="00D267EF">
        <w:t xml:space="preserve"> som senere er slått sammen til Interimss</w:t>
      </w:r>
      <w:r w:rsidRPr="00D267EF">
        <w:t xml:space="preserve">tyre for </w:t>
      </w:r>
      <w:proofErr w:type="spellStart"/>
      <w:r w:rsidRPr="00D267EF">
        <w:t>Ranelva</w:t>
      </w:r>
      <w:proofErr w:type="spellEnd"/>
      <w:r w:rsidRPr="00D267EF">
        <w:t>.</w:t>
      </w:r>
    </w:p>
    <w:p w14:paraId="162E3030" w14:textId="77777777" w:rsidR="00BB6722" w:rsidRPr="00D267EF" w:rsidRDefault="00E620B6" w:rsidP="006261BB">
      <w:r w:rsidRPr="00D267EF">
        <w:t>Andre interessenter vi har vært i dialog med er Statskog, Rana kommune, bedrifter med friluftsaktiviteter i vassdragene, Rana Turistforening.</w:t>
      </w:r>
    </w:p>
    <w:p w14:paraId="04FB543E" w14:textId="77777777" w:rsidR="008E7AAD" w:rsidRPr="00D267EF" w:rsidRDefault="00E620B6"/>
    <w:p w14:paraId="38DB87D8" w14:textId="77777777" w:rsidR="00D267EF" w:rsidRPr="00436AC9" w:rsidRDefault="00E620B6">
      <w:pPr>
        <w:rPr>
          <w:i/>
          <w:iCs/>
          <w:u w:val="single"/>
        </w:rPr>
      </w:pPr>
      <w:r w:rsidRPr="00436AC9">
        <w:rPr>
          <w:i/>
          <w:iCs/>
          <w:u w:val="single"/>
        </w:rPr>
        <w:t xml:space="preserve">Kulepunkt </w:t>
      </w:r>
      <w:proofErr w:type="spellStart"/>
      <w:r w:rsidRPr="00436AC9">
        <w:rPr>
          <w:i/>
          <w:iCs/>
          <w:u w:val="single"/>
        </w:rPr>
        <w:t>nr</w:t>
      </w:r>
      <w:proofErr w:type="spellEnd"/>
      <w:r w:rsidRPr="00436AC9">
        <w:rPr>
          <w:i/>
          <w:iCs/>
          <w:u w:val="single"/>
        </w:rPr>
        <w:t xml:space="preserve"> 2:</w:t>
      </w:r>
    </w:p>
    <w:p w14:paraId="58F74195" w14:textId="77777777" w:rsidR="0065249E" w:rsidRPr="00D267EF" w:rsidRDefault="00E620B6">
      <w:r>
        <w:t>V</w:t>
      </w:r>
      <w:r w:rsidRPr="00D267EF">
        <w:t xml:space="preserve">iser til utvidet kartlegging som er gjort i nedfallsområdet til </w:t>
      </w:r>
      <w:proofErr w:type="spellStart"/>
      <w:r w:rsidRPr="00D267EF">
        <w:t>Ranelva</w:t>
      </w:r>
      <w:proofErr w:type="spellEnd"/>
      <w:r w:rsidRPr="00D267EF">
        <w:t xml:space="preserve"> i åren</w:t>
      </w:r>
      <w:r w:rsidRPr="00D267EF">
        <w:t xml:space="preserve">e 2014 til 2017. Det ble stilt mange spørsmål til at sykdommen ble på ny påvist i 2014, </w:t>
      </w:r>
      <w:r w:rsidRPr="00D267EF">
        <w:t>på femte året i OK-programmet. Man kunne ikke identifisere parasitten ut over at den var av Halotype A, samme type som ble påvist før behandlingene i 2003 og 2004.</w:t>
      </w:r>
    </w:p>
    <w:p w14:paraId="209BE259" w14:textId="77777777" w:rsidR="002B3B78" w:rsidRPr="00D267EF" w:rsidRDefault="00E620B6">
      <w:r w:rsidRPr="00D267EF">
        <w:t>Sykd</w:t>
      </w:r>
      <w:r w:rsidRPr="00D267EF">
        <w:t>omsbehandling og reetablering av fiskestammer koster mye penger og ressurser,</w:t>
      </w:r>
      <w:r w:rsidRPr="00D267EF">
        <w:t xml:space="preserve"> og det ble igangsatt et større arbeid for å lete etter en eventuell kilde for den nye infeksjonen. Dette innebar å lete i innsjøer, fjellvann og dammer som kan ha blitt oversett </w:t>
      </w:r>
      <w:r w:rsidRPr="00D267EF">
        <w:t>i forbindelse med den tidligere behandlingen. Det ble også mottatt en del publikumstips om mulige flyttinger av fisk. Rapporten konkluderer med at lakseparasitten ikke ble funnet i disse undersøkelsene.</w:t>
      </w:r>
    </w:p>
    <w:p w14:paraId="1747356B" w14:textId="77777777" w:rsidR="00BB6722" w:rsidRPr="00D267EF" w:rsidRDefault="00E620B6"/>
    <w:p w14:paraId="21D90F7B" w14:textId="77777777" w:rsidR="00D267EF" w:rsidRPr="00436AC9" w:rsidRDefault="00E620B6">
      <w:pPr>
        <w:rPr>
          <w:i/>
          <w:iCs/>
          <w:u w:val="single"/>
        </w:rPr>
      </w:pPr>
      <w:proofErr w:type="spellStart"/>
      <w:r w:rsidRPr="00436AC9">
        <w:rPr>
          <w:i/>
          <w:iCs/>
          <w:u w:val="single"/>
        </w:rPr>
        <w:t>Appendix</w:t>
      </w:r>
      <w:proofErr w:type="spellEnd"/>
      <w:r w:rsidRPr="00436AC9">
        <w:rPr>
          <w:i/>
          <w:iCs/>
          <w:u w:val="single"/>
        </w:rPr>
        <w:t xml:space="preserve"> 1</w:t>
      </w:r>
      <w:r w:rsidRPr="00436AC9">
        <w:rPr>
          <w:i/>
          <w:iCs/>
          <w:u w:val="single"/>
        </w:rPr>
        <w:t xml:space="preserve"> </w:t>
      </w:r>
      <w:r w:rsidRPr="00436AC9">
        <w:rPr>
          <w:i/>
          <w:iCs/>
          <w:u w:val="single"/>
        </w:rPr>
        <w:t>i rapporten av 19.11.2020:</w:t>
      </w:r>
    </w:p>
    <w:p w14:paraId="1F33B1B6" w14:textId="77777777" w:rsidR="008E7AAD" w:rsidRPr="00D267EF" w:rsidRDefault="00E620B6">
      <w:r>
        <w:t>Vis</w:t>
      </w:r>
      <w:r w:rsidRPr="00D267EF">
        <w:t xml:space="preserve">er en </w:t>
      </w:r>
      <w:r w:rsidRPr="00D267EF">
        <w:t>detaljert oversikt</w:t>
      </w:r>
      <w:r w:rsidRPr="00D267EF">
        <w:t xml:space="preserve"> </w:t>
      </w:r>
      <w:r>
        <w:t>over</w:t>
      </w:r>
      <w:r w:rsidRPr="00D267EF">
        <w:t xml:space="preserve"> uttaksperiode</w:t>
      </w:r>
      <w:r w:rsidRPr="00D267EF">
        <w:t>r</w:t>
      </w:r>
      <w:r w:rsidRPr="00D267EF">
        <w:t xml:space="preserve">, </w:t>
      </w:r>
      <w:proofErr w:type="spellStart"/>
      <w:r w:rsidRPr="00D267EF">
        <w:t>uttakssteder</w:t>
      </w:r>
      <w:proofErr w:type="spellEnd"/>
      <w:r w:rsidRPr="00D267EF">
        <w:t xml:space="preserve"> og antall innsamlet laks fra </w:t>
      </w:r>
      <w:proofErr w:type="spellStart"/>
      <w:r w:rsidRPr="00D267EF">
        <w:t>Ranelva</w:t>
      </w:r>
      <w:proofErr w:type="spellEnd"/>
      <w:r w:rsidRPr="00D267EF">
        <w:t xml:space="preserve"> og </w:t>
      </w:r>
      <w:proofErr w:type="spellStart"/>
      <w:r w:rsidRPr="00D267EF">
        <w:t>Tverråga</w:t>
      </w:r>
      <w:proofErr w:type="spellEnd"/>
      <w:r w:rsidRPr="00D267EF">
        <w:t xml:space="preserve"> i årene 2016 til 2020. Analysene viser at det ikke har blitt påvist </w:t>
      </w:r>
      <w:proofErr w:type="spellStart"/>
      <w:r w:rsidRPr="00D267EF">
        <w:rPr>
          <w:i/>
          <w:iCs/>
        </w:rPr>
        <w:t>Gyrodactylus</w:t>
      </w:r>
      <w:proofErr w:type="spellEnd"/>
      <w:r w:rsidRPr="00D267EF">
        <w:rPr>
          <w:i/>
          <w:iCs/>
        </w:rPr>
        <w:t xml:space="preserve">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rPr>
          <w:i/>
          <w:iCs/>
        </w:rPr>
        <w:t xml:space="preserve"> </w:t>
      </w:r>
      <w:r w:rsidRPr="00D267EF">
        <w:t>på disse prøvene.</w:t>
      </w:r>
    </w:p>
    <w:p w14:paraId="1D35464C" w14:textId="77777777" w:rsidR="002E0238" w:rsidRPr="00D267EF" w:rsidRDefault="00E620B6"/>
    <w:p w14:paraId="1FD68769" w14:textId="77777777" w:rsidR="002E0238" w:rsidRPr="00D267EF" w:rsidRDefault="00E620B6">
      <w:r w:rsidRPr="00D267EF">
        <w:t xml:space="preserve">Analysesvar som er basert på stikkprøver, kan </w:t>
      </w:r>
      <w:r w:rsidRPr="00D267EF">
        <w:t xml:space="preserve">aldri gi et helt sikkert svar på </w:t>
      </w:r>
      <w:r w:rsidRPr="00D267EF">
        <w:t xml:space="preserve">at det er </w:t>
      </w:r>
      <w:r w:rsidRPr="00D267EF">
        <w:t xml:space="preserve">100% fravær av lakseparasitten. Det er derfor </w:t>
      </w:r>
      <w:r w:rsidRPr="00D267EF">
        <w:t>svært</w:t>
      </w:r>
      <w:r w:rsidRPr="00D267EF">
        <w:t xml:space="preserve"> viktig at innsamlingen av fiskematerialet til undersøkelsene er risikobasert</w:t>
      </w:r>
      <w:r w:rsidRPr="00D267EF">
        <w:t>,</w:t>
      </w:r>
      <w:r w:rsidRPr="00D267EF">
        <w:t xml:space="preserve"> for å kunne </w:t>
      </w:r>
      <w:r w:rsidRPr="00D267EF">
        <w:t>gi et så næ</w:t>
      </w:r>
      <w:r w:rsidRPr="00D267EF">
        <w:t>rt opp til 100 % sikkert svar som det vurderes at er nødvend</w:t>
      </w:r>
      <w:r w:rsidRPr="00D267EF">
        <w:t>ig</w:t>
      </w:r>
      <w:r w:rsidRPr="00D267EF">
        <w:t>.</w:t>
      </w:r>
      <w:r w:rsidRPr="00D267EF">
        <w:t xml:space="preserve"> </w:t>
      </w:r>
      <w:r w:rsidRPr="00D267EF">
        <w:t>V</w:t>
      </w:r>
      <w:r w:rsidRPr="00D267EF">
        <w:t xml:space="preserve">i vurderer at FM-programmet </w:t>
      </w:r>
      <w:r w:rsidRPr="00D267EF">
        <w:t xml:space="preserve">for </w:t>
      </w:r>
      <w:proofErr w:type="spellStart"/>
      <w:r w:rsidRPr="00D267EF">
        <w:t>Ranelva</w:t>
      </w:r>
      <w:proofErr w:type="spellEnd"/>
      <w:r w:rsidRPr="00D267EF">
        <w:t xml:space="preserve"> og </w:t>
      </w:r>
      <w:proofErr w:type="spellStart"/>
      <w:r w:rsidRPr="00D267EF">
        <w:t>Tverråga</w:t>
      </w:r>
      <w:proofErr w:type="spellEnd"/>
      <w:r w:rsidRPr="00D267EF">
        <w:t xml:space="preserve"> har</w:t>
      </w:r>
      <w:r w:rsidRPr="00D267EF">
        <w:t xml:space="preserve"> </w:t>
      </w:r>
      <w:r w:rsidRPr="00D267EF">
        <w:t>fulgt</w:t>
      </w:r>
      <w:r w:rsidRPr="00D267EF">
        <w:t xml:space="preserve"> kriterie</w:t>
      </w:r>
      <w:r w:rsidRPr="00D267EF">
        <w:t>r</w:t>
      </w:r>
      <w:r w:rsidRPr="00D267EF">
        <w:t xml:space="preserve"> for å optimalisere sannsynligheten for å kunne påvise parasitten</w:t>
      </w:r>
      <w:r w:rsidRPr="00D267EF">
        <w:t xml:space="preserve">, </w:t>
      </w:r>
      <w:r w:rsidRPr="00D267EF">
        <w:t xml:space="preserve">og at denne kan brukes som viktig dokumentasjonsgrunnlag </w:t>
      </w:r>
      <w:r w:rsidRPr="00D267EF">
        <w:t>ved</w:t>
      </w:r>
      <w:r w:rsidRPr="00D267EF">
        <w:t xml:space="preserve"> friskmelding</w:t>
      </w:r>
      <w:r w:rsidRPr="00D267EF">
        <w:t>.</w:t>
      </w:r>
    </w:p>
    <w:p w14:paraId="04158AA9" w14:textId="77777777" w:rsidR="00751F71" w:rsidRPr="00D267EF" w:rsidRDefault="00E620B6"/>
    <w:p w14:paraId="49751BC2" w14:textId="77777777" w:rsidR="00D267EF" w:rsidRPr="00436AC9" w:rsidRDefault="00E620B6" w:rsidP="00D267EF">
      <w:pPr>
        <w:rPr>
          <w:i/>
          <w:iCs/>
          <w:u w:val="single"/>
        </w:rPr>
      </w:pPr>
      <w:proofErr w:type="spellStart"/>
      <w:r w:rsidRPr="00436AC9">
        <w:rPr>
          <w:i/>
          <w:iCs/>
          <w:u w:val="single"/>
        </w:rPr>
        <w:t>Appendix</w:t>
      </w:r>
      <w:proofErr w:type="spellEnd"/>
      <w:r w:rsidRPr="00436AC9">
        <w:rPr>
          <w:i/>
          <w:iCs/>
          <w:u w:val="single"/>
        </w:rPr>
        <w:t xml:space="preserve"> 2 i rapporten av </w:t>
      </w:r>
      <w:r w:rsidRPr="00436AC9">
        <w:rPr>
          <w:i/>
          <w:iCs/>
          <w:u w:val="single"/>
        </w:rPr>
        <w:t>19.11.2020:</w:t>
      </w:r>
    </w:p>
    <w:p w14:paraId="2CB6BB51" w14:textId="77777777" w:rsidR="00BB6722" w:rsidRPr="00D267EF" w:rsidRDefault="00E620B6">
      <w:r>
        <w:t>Denne b</w:t>
      </w:r>
      <w:r w:rsidRPr="00D267EF">
        <w:t>eskrive</w:t>
      </w:r>
      <w:r>
        <w:t>r</w:t>
      </w:r>
      <w:r w:rsidRPr="00D267EF">
        <w:t xml:space="preserve"> uttak av vannprøver i </w:t>
      </w:r>
      <w:proofErr w:type="spellStart"/>
      <w:r w:rsidRPr="00D267EF">
        <w:t>Pluravassdraget</w:t>
      </w:r>
      <w:proofErr w:type="spellEnd"/>
      <w:r w:rsidRPr="00D267EF">
        <w:t xml:space="preserve"> </w:t>
      </w:r>
      <w:r w:rsidRPr="00D267EF">
        <w:t>og miljø-DNA undersøkelser</w:t>
      </w:r>
      <w:r w:rsidRPr="00D267EF">
        <w:t xml:space="preserve"> av vannet,</w:t>
      </w:r>
      <w:r w:rsidRPr="00D267EF">
        <w:t xml:space="preserve"> med hensyn på påvisning av</w:t>
      </w:r>
      <w:r w:rsidRPr="00D267EF">
        <w:t xml:space="preserve"> regnbueørret og</w:t>
      </w:r>
      <w:r w:rsidRPr="00D267EF">
        <w:t xml:space="preserve"> </w:t>
      </w:r>
      <w:r w:rsidRPr="00D267EF">
        <w:rPr>
          <w:i/>
          <w:iCs/>
        </w:rPr>
        <w:t>G</w:t>
      </w:r>
      <w:r>
        <w:rPr>
          <w:i/>
          <w:iCs/>
        </w:rPr>
        <w:t>.</w:t>
      </w:r>
      <w:r w:rsidRPr="00D267EF">
        <w:rPr>
          <w:i/>
          <w:iCs/>
        </w:rPr>
        <w:t xml:space="preserve">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rPr>
          <w:i/>
          <w:iCs/>
        </w:rPr>
        <w:t>.</w:t>
      </w:r>
      <w:r w:rsidRPr="00D267EF">
        <w:rPr>
          <w:i/>
          <w:iCs/>
        </w:rPr>
        <w:t xml:space="preserve"> </w:t>
      </w:r>
      <w:r w:rsidRPr="00D267EF">
        <w:t xml:space="preserve">Analysene av vannprøvene viser at det ikke ble påvist regnbueørret eller </w:t>
      </w:r>
      <w:proofErr w:type="spellStart"/>
      <w:r w:rsidRPr="00D267EF">
        <w:rPr>
          <w:i/>
          <w:iCs/>
        </w:rPr>
        <w:t>Gyrodactylus</w:t>
      </w:r>
      <w:proofErr w:type="spellEnd"/>
      <w:r w:rsidRPr="00D267EF">
        <w:rPr>
          <w:i/>
          <w:iCs/>
        </w:rPr>
        <w:t xml:space="preserve"> </w:t>
      </w:r>
      <w:proofErr w:type="spellStart"/>
      <w:r w:rsidRPr="00D267EF">
        <w:rPr>
          <w:i/>
          <w:iCs/>
        </w:rPr>
        <w:t>salaris</w:t>
      </w:r>
      <w:proofErr w:type="spellEnd"/>
      <w:r w:rsidRPr="00D267EF">
        <w:rPr>
          <w:i/>
          <w:iCs/>
        </w:rPr>
        <w:t xml:space="preserve"> </w:t>
      </w:r>
      <w:r w:rsidRPr="00D267EF">
        <w:t xml:space="preserve">i noen av vannprøvene som ble analysert fra </w:t>
      </w:r>
      <w:proofErr w:type="spellStart"/>
      <w:r w:rsidRPr="00D267EF">
        <w:t>Pluravassdraget</w:t>
      </w:r>
      <w:proofErr w:type="spellEnd"/>
      <w:r w:rsidRPr="00D267EF">
        <w:t>.</w:t>
      </w:r>
    </w:p>
    <w:p w14:paraId="793CE418" w14:textId="77777777" w:rsidR="002109DB" w:rsidRPr="00D267EF" w:rsidRDefault="00E620B6"/>
    <w:p w14:paraId="30076C79" w14:textId="77777777" w:rsidR="00F01DA2" w:rsidRPr="00D267EF" w:rsidRDefault="00E620B6">
      <w:r w:rsidRPr="00D267EF">
        <w:t xml:space="preserve">I </w:t>
      </w:r>
      <w:proofErr w:type="spellStart"/>
      <w:r w:rsidRPr="00D267EF">
        <w:t>Ranafjellene</w:t>
      </w:r>
      <w:proofErr w:type="spellEnd"/>
      <w:r w:rsidRPr="00D267EF">
        <w:t xml:space="preserve"> er det mange og lange grottesystemer, og </w:t>
      </w:r>
      <w:proofErr w:type="spellStart"/>
      <w:r w:rsidRPr="00D267EF">
        <w:t>Pluraelva</w:t>
      </w:r>
      <w:proofErr w:type="spellEnd"/>
      <w:r w:rsidRPr="00D267EF">
        <w:t xml:space="preserve"> renner </w:t>
      </w:r>
      <w:r w:rsidRPr="00D267EF">
        <w:t xml:space="preserve">fra sig fra </w:t>
      </w:r>
      <w:proofErr w:type="spellStart"/>
      <w:r w:rsidRPr="00D267EF">
        <w:t>Kallvatnet</w:t>
      </w:r>
      <w:proofErr w:type="spellEnd"/>
      <w:r w:rsidRPr="00D267EF">
        <w:t xml:space="preserve"> og </w:t>
      </w:r>
      <w:proofErr w:type="spellStart"/>
      <w:r w:rsidRPr="00D267EF">
        <w:t>n</w:t>
      </w:r>
      <w:r w:rsidRPr="00D267EF">
        <w:t>edfallområdet</w:t>
      </w:r>
      <w:proofErr w:type="spellEnd"/>
      <w:r w:rsidRPr="00D267EF">
        <w:t xml:space="preserve">, </w:t>
      </w:r>
      <w:r w:rsidRPr="00D267EF">
        <w:t xml:space="preserve">gjennom </w:t>
      </w:r>
      <w:r w:rsidRPr="00D267EF">
        <w:t>flere</w:t>
      </w:r>
      <w:r w:rsidRPr="00D267EF">
        <w:t xml:space="preserve"> grotte</w:t>
      </w:r>
      <w:r w:rsidRPr="00D267EF">
        <w:t>systeme</w:t>
      </w:r>
      <w:r>
        <w:t>r</w:t>
      </w:r>
      <w:r w:rsidRPr="00D267EF">
        <w:t xml:space="preserve"> før utløpet til </w:t>
      </w:r>
      <w:proofErr w:type="spellStart"/>
      <w:r w:rsidRPr="00D267EF">
        <w:t>Ranelva</w:t>
      </w:r>
      <w:proofErr w:type="spellEnd"/>
      <w:r w:rsidRPr="00D267EF">
        <w:t xml:space="preserve"> nedenfor </w:t>
      </w:r>
      <w:proofErr w:type="spellStart"/>
      <w:r w:rsidRPr="00D267EF">
        <w:t>Kobbforsen</w:t>
      </w:r>
      <w:proofErr w:type="spellEnd"/>
      <w:r w:rsidRPr="00D267EF">
        <w:t xml:space="preserve">. På grunn av dette, samt sikker forekomst av både røye og ørret i grottene ved </w:t>
      </w:r>
      <w:r>
        <w:t xml:space="preserve">eksempelvis </w:t>
      </w:r>
      <w:proofErr w:type="spellStart"/>
      <w:r w:rsidRPr="00D267EF">
        <w:t>Jordbru</w:t>
      </w:r>
      <w:proofErr w:type="spellEnd"/>
      <w:r w:rsidRPr="00D267EF">
        <w:t xml:space="preserve"> i </w:t>
      </w:r>
      <w:proofErr w:type="spellStart"/>
      <w:r w:rsidRPr="00D267EF">
        <w:t>Plurdalen</w:t>
      </w:r>
      <w:proofErr w:type="spellEnd"/>
      <w:r w:rsidRPr="00D267EF">
        <w:t xml:space="preserve">, har det vært spekulert i om parasitten kan ha </w:t>
      </w:r>
      <w:r w:rsidRPr="00D267EF">
        <w:t xml:space="preserve">eksistert </w:t>
      </w:r>
      <w:r w:rsidRPr="00D267EF">
        <w:t xml:space="preserve">og overlevd </w:t>
      </w:r>
      <w:r w:rsidRPr="00D267EF">
        <w:t>i grottesystemene</w:t>
      </w:r>
      <w:r w:rsidRPr="00D267EF">
        <w:t xml:space="preserve"> </w:t>
      </w:r>
      <w:r w:rsidRPr="00D267EF">
        <w:t>fra</w:t>
      </w:r>
      <w:r w:rsidRPr="00D267EF">
        <w:t xml:space="preserve"> forrige behandlingsrunde</w:t>
      </w:r>
      <w:r w:rsidRPr="00D267EF">
        <w:t>.</w:t>
      </w:r>
    </w:p>
    <w:p w14:paraId="27D92C42" w14:textId="77777777" w:rsidR="00BB6722" w:rsidRPr="00D267EF" w:rsidRDefault="00E620B6">
      <w:r w:rsidRPr="00D267EF">
        <w:t xml:space="preserve">Det var høyest forekomst av laks infisert med lakseparasitten ved </w:t>
      </w:r>
      <w:r w:rsidRPr="00D267EF">
        <w:t xml:space="preserve">stasjonene </w:t>
      </w:r>
      <w:proofErr w:type="spellStart"/>
      <w:r w:rsidRPr="00D267EF">
        <w:t>Skugghei</w:t>
      </w:r>
      <w:proofErr w:type="spellEnd"/>
      <w:r w:rsidRPr="00D267EF">
        <w:t xml:space="preserve"> (prevalens 83,3) og </w:t>
      </w:r>
      <w:proofErr w:type="spellStart"/>
      <w:r w:rsidRPr="00D267EF">
        <w:t>Djuplasti</w:t>
      </w:r>
      <w:proofErr w:type="spellEnd"/>
      <w:r w:rsidRPr="00D267EF">
        <w:t xml:space="preserve"> (prevalens 80) i 2014</w:t>
      </w:r>
      <w:r w:rsidRPr="00D267EF">
        <w:t xml:space="preserve">. Disse stasjonene befinner seg i samme område som utløpet </w:t>
      </w:r>
      <w:r w:rsidRPr="00D267EF">
        <w:t xml:space="preserve">av </w:t>
      </w:r>
      <w:proofErr w:type="spellStart"/>
      <w:r w:rsidRPr="00D267EF">
        <w:t>Pluraelva</w:t>
      </w:r>
      <w:proofErr w:type="spellEnd"/>
      <w:r w:rsidRPr="00D267EF">
        <w:t xml:space="preserve"> og kunne i så måte ikke utelukke at smitten kunne komme fra områder over sikre hinder. Forklaringen for høy prevalens under </w:t>
      </w:r>
      <w:proofErr w:type="spellStart"/>
      <w:r w:rsidRPr="00D267EF">
        <w:t>Kobbforsen</w:t>
      </w:r>
      <w:proofErr w:type="spellEnd"/>
      <w:r w:rsidRPr="00D267EF">
        <w:t xml:space="preserve"> på den tiden av året, kunne også være naturlig gytevandring.</w:t>
      </w:r>
    </w:p>
    <w:p w14:paraId="5183B2B2" w14:textId="77777777" w:rsidR="007F7335" w:rsidRPr="00D267EF" w:rsidRDefault="00E620B6" w:rsidP="00B20924">
      <w:r w:rsidRPr="00D267EF">
        <w:t>Miljø-DNA har vært en metode som har vært utvik</w:t>
      </w:r>
      <w:r w:rsidRPr="00D267EF">
        <w:t>let over tid, og i 2020 har metoden blitt såpass godt utviklet at man kunne benytte metoden for å vise eventuell forekomst av arter.</w:t>
      </w:r>
    </w:p>
    <w:p w14:paraId="446B44E2" w14:textId="77777777" w:rsidR="002109DB" w:rsidRPr="00D267EF" w:rsidRDefault="00E620B6">
      <w:pPr>
        <w:keepNext/>
        <w:rPr>
          <w:i/>
          <w:iCs/>
        </w:rPr>
      </w:pPr>
      <w:r w:rsidRPr="00D267EF">
        <w:rPr>
          <w:i/>
          <w:iCs/>
        </w:rPr>
        <w:lastRenderedPageBreak/>
        <w:t>Tiden fremover</w:t>
      </w:r>
      <w:r>
        <w:rPr>
          <w:i/>
          <w:iCs/>
        </w:rPr>
        <w:t>,</w:t>
      </w:r>
      <w:r w:rsidRPr="00D267EF">
        <w:rPr>
          <w:i/>
          <w:iCs/>
        </w:rPr>
        <w:t xml:space="preserve"> etter friskmelding:</w:t>
      </w:r>
    </w:p>
    <w:p w14:paraId="623E735B" w14:textId="77777777" w:rsidR="00F716FA" w:rsidRDefault="00E620B6">
      <w:pPr>
        <w:keepNext/>
      </w:pPr>
    </w:p>
    <w:p w14:paraId="10DC616C" w14:textId="77777777" w:rsidR="00F716FA" w:rsidRPr="00436AC9" w:rsidRDefault="00E620B6">
      <w:pPr>
        <w:keepNext/>
        <w:rPr>
          <w:i/>
          <w:iCs/>
          <w:u w:val="single"/>
        </w:rPr>
      </w:pPr>
      <w:r w:rsidRPr="00436AC9">
        <w:rPr>
          <w:i/>
          <w:iCs/>
          <w:u w:val="single"/>
        </w:rPr>
        <w:t xml:space="preserve">OK-programmet for </w:t>
      </w:r>
      <w:proofErr w:type="spellStart"/>
      <w:r w:rsidRPr="00436AC9">
        <w:rPr>
          <w:i/>
          <w:iCs/>
          <w:u w:val="single"/>
        </w:rPr>
        <w:t>Gyrodactylus</w:t>
      </w:r>
      <w:proofErr w:type="spellEnd"/>
      <w:r w:rsidRPr="00436AC9">
        <w:rPr>
          <w:i/>
          <w:iCs/>
          <w:u w:val="single"/>
        </w:rPr>
        <w:t xml:space="preserve"> </w:t>
      </w:r>
      <w:proofErr w:type="spellStart"/>
      <w:r w:rsidRPr="00436AC9">
        <w:rPr>
          <w:i/>
          <w:iCs/>
          <w:u w:val="single"/>
        </w:rPr>
        <w:t>salaris</w:t>
      </w:r>
      <w:proofErr w:type="spellEnd"/>
    </w:p>
    <w:p w14:paraId="71922D45" w14:textId="77777777" w:rsidR="002109DB" w:rsidRDefault="00E620B6">
      <w:pPr>
        <w:keepNext/>
      </w:pPr>
      <w:r w:rsidRPr="00D267EF">
        <w:t xml:space="preserve">Det vurderes som svært viktig for å </w:t>
      </w:r>
      <w:r>
        <w:t xml:space="preserve">kunne </w:t>
      </w:r>
      <w:r w:rsidRPr="00D267EF">
        <w:t>gi fr</w:t>
      </w:r>
      <w:r w:rsidRPr="00D267EF">
        <w:t xml:space="preserve">iskmelding, at vassdraget overvåkes </w:t>
      </w:r>
      <w:r w:rsidRPr="00D267EF">
        <w:t>nøye i årene som kommer.</w:t>
      </w:r>
    </w:p>
    <w:p w14:paraId="0FDFA362" w14:textId="77777777" w:rsidR="00B20924" w:rsidRPr="00D267EF" w:rsidRDefault="00E620B6">
      <w:pPr>
        <w:keepNext/>
      </w:pPr>
    </w:p>
    <w:p w14:paraId="118BAF0F" w14:textId="77777777" w:rsidR="002109DB" w:rsidRPr="00D267EF" w:rsidRDefault="00E620B6">
      <w:pPr>
        <w:keepNext/>
      </w:pPr>
      <w:r w:rsidRPr="00D267EF">
        <w:t>OK-programmet starter opp første året etter friskmelding</w:t>
      </w:r>
      <w:r>
        <w:t xml:space="preserve"> av et vassdrag</w:t>
      </w:r>
      <w:r w:rsidRPr="00D267EF">
        <w:t>, i dette tilfellet i 2021.</w:t>
      </w:r>
    </w:p>
    <w:p w14:paraId="36C79EBA" w14:textId="77777777" w:rsidR="007F7335" w:rsidRDefault="00E620B6">
      <w:pPr>
        <w:keepNext/>
      </w:pPr>
      <w:r w:rsidRPr="00D267EF">
        <w:t>I henhold til dialog med Veterinærinstituttet skal også OK-programmene baser</w:t>
      </w:r>
      <w:r>
        <w:t>es</w:t>
      </w:r>
      <w:r w:rsidRPr="00D267EF">
        <w:t xml:space="preserve"> på risikovurderinger</w:t>
      </w:r>
      <w:r>
        <w:t xml:space="preserve"> for det enkelte området, og det pågår en revidering av innholdet i OK-programmet for </w:t>
      </w:r>
      <w:r>
        <w:rPr>
          <w:i/>
          <w:iCs/>
        </w:rPr>
        <w:t xml:space="preserve">G. </w:t>
      </w:r>
      <w:proofErr w:type="spellStart"/>
      <w:r>
        <w:rPr>
          <w:i/>
          <w:iCs/>
        </w:rPr>
        <w:t>salaris</w:t>
      </w:r>
      <w:proofErr w:type="spellEnd"/>
      <w:r w:rsidRPr="00D267EF">
        <w:t xml:space="preserve">. Veterinærinstituttet har </w:t>
      </w:r>
      <w:r>
        <w:t xml:space="preserve">i sitt brev av 19.11.2020 </w:t>
      </w:r>
      <w:r w:rsidRPr="00D267EF">
        <w:t xml:space="preserve">anbefalt at det gjennomføres et utvidet prøveuttak til overvåkning av </w:t>
      </w:r>
      <w:proofErr w:type="spellStart"/>
      <w:r w:rsidRPr="00D267EF">
        <w:t>Ranelva</w:t>
      </w:r>
      <w:proofErr w:type="spellEnd"/>
      <w:r w:rsidRPr="00D267EF">
        <w:t xml:space="preserve"> i årene </w:t>
      </w:r>
      <w:r w:rsidRPr="00D267EF">
        <w:t>fremover, da</w:t>
      </w:r>
      <w:r w:rsidRPr="00D267EF">
        <w:t xml:space="preserve"> dette har vært andre gangs påvisning </w:t>
      </w:r>
      <w:r w:rsidRPr="00D267EF">
        <w:t xml:space="preserve">på kort tid </w:t>
      </w:r>
      <w:r w:rsidRPr="00D267EF">
        <w:t>og smittekilde</w:t>
      </w:r>
      <w:r w:rsidRPr="00D267EF">
        <w:t>n</w:t>
      </w:r>
      <w:r w:rsidRPr="00D267EF">
        <w:t xml:space="preserve"> ikke er funnet</w:t>
      </w:r>
      <w:r w:rsidRPr="00D267EF">
        <w:t xml:space="preserve">. </w:t>
      </w:r>
      <w:r>
        <w:t>Dette s</w:t>
      </w:r>
      <w:r w:rsidRPr="00D267EF">
        <w:t>elv etter omfattende og utvidet leting</w:t>
      </w:r>
      <w:r w:rsidRPr="00D267EF">
        <w:t>.</w:t>
      </w:r>
    </w:p>
    <w:p w14:paraId="23211BF7" w14:textId="77777777" w:rsidR="00F716FA" w:rsidRDefault="00E620B6">
      <w:pPr>
        <w:keepNext/>
      </w:pPr>
    </w:p>
    <w:p w14:paraId="483A96C4" w14:textId="77777777" w:rsidR="00B20924" w:rsidRDefault="00E620B6">
      <w:pPr>
        <w:keepNext/>
      </w:pPr>
      <w:r>
        <w:t xml:space="preserve">Mattilsynet vil følge opp dette punktet fremover, og det er i </w:t>
      </w:r>
      <w:r>
        <w:t>muntlig dialog diskutert</w:t>
      </w:r>
      <w:r>
        <w:t xml:space="preserve"> flere </w:t>
      </w:r>
      <w:r>
        <w:t xml:space="preserve">muligheter; øke </w:t>
      </w:r>
      <w:r>
        <w:t>uttak</w:t>
      </w:r>
      <w:r>
        <w:t xml:space="preserve">sperioder og/eller </w:t>
      </w:r>
      <w:r>
        <w:t xml:space="preserve">økt </w:t>
      </w:r>
      <w:r>
        <w:t>antall fisk i løpet av en sesong, flere sideelver</w:t>
      </w:r>
      <w:r>
        <w:t xml:space="preserve">, brakkvannsområdet </w:t>
      </w:r>
      <w:proofErr w:type="spellStart"/>
      <w:r>
        <w:t>Engasjyen</w:t>
      </w:r>
      <w:proofErr w:type="spellEnd"/>
      <w:r>
        <w:t xml:space="preserve"> naturreservat, samt uttak av miljø-DNA fra et eller flere områder.</w:t>
      </w:r>
    </w:p>
    <w:p w14:paraId="0AB6B459" w14:textId="77777777" w:rsidR="00341DB5" w:rsidRDefault="00E620B6">
      <w:pPr>
        <w:keepNext/>
      </w:pPr>
    </w:p>
    <w:p w14:paraId="1E317753" w14:textId="77777777" w:rsidR="000E5F25" w:rsidRPr="00436AC9" w:rsidRDefault="00E620B6" w:rsidP="000E5F25">
      <w:pPr>
        <w:keepNext/>
        <w:rPr>
          <w:i/>
          <w:iCs/>
          <w:u w:val="single"/>
        </w:rPr>
      </w:pPr>
      <w:r w:rsidRPr="00436AC9">
        <w:rPr>
          <w:i/>
          <w:iCs/>
          <w:u w:val="single"/>
        </w:rPr>
        <w:t>Omsetnings- og sykdomsforskriften, b</w:t>
      </w:r>
      <w:r w:rsidRPr="00436AC9">
        <w:rPr>
          <w:i/>
          <w:iCs/>
          <w:u w:val="single"/>
        </w:rPr>
        <w:t xml:space="preserve">rukere av </w:t>
      </w:r>
      <w:proofErr w:type="spellStart"/>
      <w:r w:rsidRPr="00436AC9">
        <w:rPr>
          <w:i/>
          <w:iCs/>
          <w:u w:val="single"/>
        </w:rPr>
        <w:t>Ranelva</w:t>
      </w:r>
      <w:proofErr w:type="spellEnd"/>
      <w:r w:rsidRPr="00436AC9">
        <w:rPr>
          <w:i/>
          <w:iCs/>
          <w:u w:val="single"/>
        </w:rPr>
        <w:t>/</w:t>
      </w:r>
      <w:proofErr w:type="spellStart"/>
      <w:r w:rsidRPr="00436AC9">
        <w:rPr>
          <w:i/>
          <w:iCs/>
          <w:u w:val="single"/>
        </w:rPr>
        <w:t>Ranavassdraget</w:t>
      </w:r>
      <w:proofErr w:type="spellEnd"/>
      <w:r w:rsidRPr="00436AC9">
        <w:rPr>
          <w:i/>
          <w:iCs/>
          <w:u w:val="single"/>
        </w:rPr>
        <w:t xml:space="preserve"> og restaureringen</w:t>
      </w:r>
      <w:r w:rsidRPr="00436AC9">
        <w:rPr>
          <w:i/>
          <w:iCs/>
          <w:u w:val="single"/>
        </w:rPr>
        <w:t xml:space="preserve"> av laksetunellen ved Reinforsen:</w:t>
      </w:r>
    </w:p>
    <w:p w14:paraId="6ABB7F72" w14:textId="77777777" w:rsidR="00F716FA" w:rsidRPr="00F716FA" w:rsidRDefault="00E620B6">
      <w:pPr>
        <w:keepNext/>
        <w:rPr>
          <w:u w:val="single"/>
        </w:rPr>
      </w:pPr>
    </w:p>
    <w:p w14:paraId="36151F84" w14:textId="77777777" w:rsidR="002109DB" w:rsidRDefault="00E620B6">
      <w:pPr>
        <w:keepNext/>
      </w:pPr>
      <w:r>
        <w:t>Som vi har nevnt over, vurderer vi at brukerne av vassdraget i denne sykdomsperioden har bidratt til at vi nå kan friskmelde elvene. Det er derimot svært viktig å påpeke, at i all tid fremover må vi ha en tilsvarende og l</w:t>
      </w:r>
      <w:r>
        <w:t>ike god intensjon om å beskytte vassdragene mot smitte. Smitte fra andre vassdrag eller fra andre områder i samme vassdrag, kan i verste fall føre til alvorlig redusert helsetilstand for laksefiskene våre.</w:t>
      </w:r>
    </w:p>
    <w:p w14:paraId="6366E265" w14:textId="77777777" w:rsidR="00341DB5" w:rsidRDefault="00E620B6">
      <w:pPr>
        <w:keepNext/>
      </w:pPr>
    </w:p>
    <w:p w14:paraId="7D08158E" w14:textId="77777777" w:rsidR="00553856" w:rsidRDefault="00E620B6">
      <w:pPr>
        <w:keepNext/>
        <w:rPr>
          <w:color w:val="333333"/>
          <w:shd w:val="clear" w:color="auto" w:fill="FFFFFF"/>
        </w:rPr>
      </w:pPr>
      <w:r>
        <w:t xml:space="preserve">Vi viser derfor til et fortsatt behov for </w:t>
      </w:r>
      <w:r>
        <w:t>våre in</w:t>
      </w:r>
      <w:r>
        <w:t xml:space="preserve">teressenter og brukere til </w:t>
      </w:r>
      <w:r>
        <w:t xml:space="preserve">å </w:t>
      </w:r>
      <w:r>
        <w:t xml:space="preserve">bidra til å </w:t>
      </w:r>
      <w:r>
        <w:t>spre informasjon om forbud mot å flytte levende eller døde akvatiske dyr mellom vassdrag</w:t>
      </w:r>
      <w:r>
        <w:t>.</w:t>
      </w:r>
      <w:r>
        <w:t xml:space="preserve"> </w:t>
      </w:r>
      <w:r>
        <w:t>S</w:t>
      </w:r>
      <w:r>
        <w:t xml:space="preserve">amt forbud mot å </w:t>
      </w:r>
      <w:r w:rsidRPr="00553856">
        <w:t xml:space="preserve">flytte </w:t>
      </w:r>
      <w:r>
        <w:t>f</w:t>
      </w:r>
      <w:r w:rsidRPr="00553856">
        <w:rPr>
          <w:color w:val="333333"/>
          <w:shd w:val="clear" w:color="auto" w:fill="FFFFFF"/>
        </w:rPr>
        <w:t xml:space="preserve">iskeutstyr, båter og andre gjenstander </w:t>
      </w:r>
      <w:r>
        <w:rPr>
          <w:color w:val="333333"/>
          <w:shd w:val="clear" w:color="auto" w:fill="FFFFFF"/>
        </w:rPr>
        <w:t>uten</w:t>
      </w:r>
      <w:r w:rsidRPr="00553856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tilstrekkelig </w:t>
      </w:r>
      <w:r w:rsidRPr="00553856">
        <w:rPr>
          <w:color w:val="333333"/>
          <w:shd w:val="clear" w:color="auto" w:fill="FFFFFF"/>
        </w:rPr>
        <w:t>tørk</w:t>
      </w:r>
      <w:r>
        <w:rPr>
          <w:color w:val="333333"/>
          <w:shd w:val="clear" w:color="auto" w:fill="FFFFFF"/>
        </w:rPr>
        <w:t>ing</w:t>
      </w:r>
      <w:r w:rsidRPr="00553856">
        <w:rPr>
          <w:color w:val="333333"/>
          <w:shd w:val="clear" w:color="auto" w:fill="FFFFFF"/>
        </w:rPr>
        <w:t xml:space="preserve"> eller desinfiser</w:t>
      </w:r>
      <w:r>
        <w:rPr>
          <w:color w:val="333333"/>
          <w:shd w:val="clear" w:color="auto" w:fill="FFFFFF"/>
        </w:rPr>
        <w:t xml:space="preserve">ing. Fisken </w:t>
      </w:r>
      <w:r>
        <w:rPr>
          <w:color w:val="333333"/>
          <w:shd w:val="clear" w:color="auto" w:fill="FFFFFF"/>
        </w:rPr>
        <w:t>kan ha parasitten på seg, og vann fra utstyr kan bære med seg parasitten. Parasitten kan overleve i inntil tre døgn i frie vannmasser, uten vert. Parasitten kan også formere seg uten at den finner en annen parasitt.</w:t>
      </w:r>
    </w:p>
    <w:p w14:paraId="3A2FD2C3" w14:textId="77777777" w:rsidR="00341DB5" w:rsidRDefault="00E620B6">
      <w:pPr>
        <w:keepNext/>
        <w:rPr>
          <w:color w:val="333333"/>
          <w:shd w:val="clear" w:color="auto" w:fill="FFFFFF"/>
        </w:rPr>
      </w:pPr>
    </w:p>
    <w:p w14:paraId="57B54526" w14:textId="77777777" w:rsidR="00341DB5" w:rsidRPr="00553856" w:rsidRDefault="00E620B6">
      <w:pPr>
        <w:keepNext/>
      </w:pPr>
      <w:r>
        <w:rPr>
          <w:color w:val="333333"/>
          <w:shd w:val="clear" w:color="auto" w:fill="FFFFFF"/>
        </w:rPr>
        <w:t>I forbindelse med restaurer</w:t>
      </w:r>
      <w:r>
        <w:rPr>
          <w:color w:val="333333"/>
          <w:shd w:val="clear" w:color="auto" w:fill="FFFFFF"/>
        </w:rPr>
        <w:t>ing av</w:t>
      </w:r>
      <w:r>
        <w:rPr>
          <w:color w:val="333333"/>
          <w:shd w:val="clear" w:color="auto" w:fill="FFFFFF"/>
        </w:rPr>
        <w:t xml:space="preserve"> lakse</w:t>
      </w:r>
      <w:r>
        <w:rPr>
          <w:color w:val="333333"/>
          <w:shd w:val="clear" w:color="auto" w:fill="FFFFFF"/>
        </w:rPr>
        <w:t xml:space="preserve">tunellen ved Reinforsen, og utsett og oppføring av laks over </w:t>
      </w:r>
      <w:r>
        <w:rPr>
          <w:color w:val="333333"/>
          <w:shd w:val="clear" w:color="auto" w:fill="FFFFFF"/>
        </w:rPr>
        <w:t>dagens hinder</w:t>
      </w:r>
      <w:r>
        <w:rPr>
          <w:color w:val="333333"/>
          <w:shd w:val="clear" w:color="auto" w:fill="FFFFFF"/>
        </w:rPr>
        <w:t xml:space="preserve">, vil </w:t>
      </w:r>
      <w:r>
        <w:rPr>
          <w:color w:val="333333"/>
          <w:shd w:val="clear" w:color="auto" w:fill="FFFFFF"/>
        </w:rPr>
        <w:t>derfor potensialet</w:t>
      </w:r>
      <w:r>
        <w:rPr>
          <w:color w:val="333333"/>
          <w:shd w:val="clear" w:color="auto" w:fill="FFFFFF"/>
        </w:rPr>
        <w:t xml:space="preserve"> for parasittens utbredelse øke betraktelig. En eventuell ny forekomst av lakseparasitten i </w:t>
      </w:r>
      <w:proofErr w:type="spellStart"/>
      <w:r>
        <w:rPr>
          <w:color w:val="333333"/>
          <w:shd w:val="clear" w:color="auto" w:fill="FFFFFF"/>
        </w:rPr>
        <w:t>Ranelva</w:t>
      </w:r>
      <w:proofErr w:type="spellEnd"/>
      <w:r>
        <w:rPr>
          <w:color w:val="333333"/>
          <w:shd w:val="clear" w:color="auto" w:fill="FFFFFF"/>
        </w:rPr>
        <w:t xml:space="preserve">, vil </w:t>
      </w:r>
      <w:r>
        <w:rPr>
          <w:color w:val="333333"/>
          <w:shd w:val="clear" w:color="auto" w:fill="FFFFFF"/>
        </w:rPr>
        <w:t xml:space="preserve">derfor raskt </w:t>
      </w:r>
      <w:r>
        <w:rPr>
          <w:color w:val="333333"/>
          <w:shd w:val="clear" w:color="auto" w:fill="FFFFFF"/>
        </w:rPr>
        <w:t xml:space="preserve">kunne få langt større konsekvenser </w:t>
      </w:r>
      <w:r>
        <w:rPr>
          <w:color w:val="333333"/>
          <w:shd w:val="clear" w:color="auto" w:fill="FFFFFF"/>
        </w:rPr>
        <w:t>på gr</w:t>
      </w:r>
      <w:r>
        <w:rPr>
          <w:color w:val="333333"/>
          <w:shd w:val="clear" w:color="auto" w:fill="FFFFFF"/>
        </w:rPr>
        <w:t>unn</w:t>
      </w:r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lastRenderedPageBreak/>
        <w:t>a</w:t>
      </w:r>
      <w:r>
        <w:rPr>
          <w:color w:val="333333"/>
          <w:shd w:val="clear" w:color="auto" w:fill="FFFFFF"/>
        </w:rPr>
        <w:t>v økt utbredelse av laksen.</w:t>
      </w:r>
      <w:r>
        <w:rPr>
          <w:color w:val="333333"/>
          <w:shd w:val="clear" w:color="auto" w:fill="FFFFFF"/>
        </w:rPr>
        <w:t xml:space="preserve"> Dette gjør at det forebyggende arbeidet må få et enda større fokus i tiden som kommer</w:t>
      </w:r>
      <w:r>
        <w:rPr>
          <w:color w:val="333333"/>
          <w:shd w:val="clear" w:color="auto" w:fill="FFFFFF"/>
        </w:rPr>
        <w:t>, og alle parter er avhengig av et godt samarbeid.</w:t>
      </w:r>
    </w:p>
    <w:p w14:paraId="602AB97D" w14:textId="77777777" w:rsidR="00553856" w:rsidRDefault="00E620B6">
      <w:pPr>
        <w:keepNext/>
      </w:pPr>
    </w:p>
    <w:p w14:paraId="621AE5D2" w14:textId="77777777" w:rsidR="00553856" w:rsidRDefault="00E620B6">
      <w:pPr>
        <w:keepNext/>
      </w:pPr>
    </w:p>
    <w:p w14:paraId="3CEF9B55" w14:textId="77777777" w:rsidR="00F716FA" w:rsidRPr="00F716FA" w:rsidRDefault="00E620B6">
      <w:pPr>
        <w:keepNext/>
        <w:rPr>
          <w:b/>
          <w:bCs/>
        </w:rPr>
      </w:pPr>
      <w:r>
        <w:rPr>
          <w:b/>
          <w:bCs/>
        </w:rPr>
        <w:t>Konklusjon</w:t>
      </w:r>
    </w:p>
    <w:p w14:paraId="4F26D0E3" w14:textId="77777777" w:rsidR="00F716FA" w:rsidRDefault="00E620B6">
      <w:pPr>
        <w:keepNext/>
      </w:pPr>
      <w:r>
        <w:t>På bakgrunn av vurderingene over, friskmelde</w:t>
      </w:r>
      <w:r>
        <w:t>r vi</w:t>
      </w:r>
      <w:r>
        <w:t xml:space="preserve"> </w:t>
      </w:r>
      <w:proofErr w:type="spellStart"/>
      <w:r>
        <w:t>Ranelva</w:t>
      </w:r>
      <w:proofErr w:type="spellEnd"/>
      <w:r>
        <w:t xml:space="preserve"> og </w:t>
      </w:r>
      <w:proofErr w:type="spellStart"/>
      <w:r>
        <w:t>Tverråga</w:t>
      </w:r>
      <w:proofErr w:type="spellEnd"/>
      <w:r>
        <w:t>.</w:t>
      </w:r>
      <w:r>
        <w:t xml:space="preserve"> </w:t>
      </w:r>
      <w:r>
        <w:t>R</w:t>
      </w:r>
      <w:r>
        <w:t>estriksjonene som ble pålagt i 2014 oppheves.</w:t>
      </w:r>
    </w:p>
    <w:p w14:paraId="1F287978" w14:textId="77777777" w:rsidR="00F716FA" w:rsidRDefault="00E620B6">
      <w:pPr>
        <w:keepNext/>
      </w:pPr>
    </w:p>
    <w:p w14:paraId="6EC8C4BC" w14:textId="77777777" w:rsidR="00F716FA" w:rsidRDefault="00E620B6">
      <w:pPr>
        <w:keepNext/>
      </w:pPr>
      <w:r>
        <w:t xml:space="preserve">Forskrift om </w:t>
      </w:r>
      <w:r w:rsidRPr="00F716FA">
        <w:rPr>
          <w:color w:val="333333"/>
          <w:shd w:val="clear" w:color="auto" w:fill="FFFFFF"/>
        </w:rPr>
        <w:t>kontrollområde for lakseparasitt, Nordland</w:t>
      </w:r>
      <w:r>
        <w:t xml:space="preserve"> oppheves, og vi vil iverksette at forskriften fjernes fra Lovdata.</w:t>
      </w:r>
    </w:p>
    <w:p w14:paraId="27305FD4" w14:textId="77777777" w:rsidR="00B511DA" w:rsidRDefault="00E620B6">
      <w:pPr>
        <w:keepNext/>
      </w:pPr>
    </w:p>
    <w:p w14:paraId="05D9017D" w14:textId="77777777" w:rsidR="00B511DA" w:rsidRPr="00D267EF" w:rsidRDefault="00E620B6">
      <w:pPr>
        <w:keepNext/>
      </w:pPr>
    </w:p>
    <w:p w14:paraId="711AD819" w14:textId="77777777" w:rsidR="007F7335" w:rsidRPr="00D267EF" w:rsidRDefault="00E620B6">
      <w:pPr>
        <w:keepNext/>
      </w:pPr>
    </w:p>
    <w:p w14:paraId="2DE1200F" w14:textId="77777777" w:rsidR="00DF55FA" w:rsidRPr="00D267EF" w:rsidRDefault="00E620B6">
      <w:pPr>
        <w:keepNext/>
      </w:pPr>
      <w:r w:rsidRPr="00D267EF">
        <w:t>Med hilsen</w:t>
      </w:r>
    </w:p>
    <w:p w14:paraId="3097A55C" w14:textId="77777777" w:rsidR="00DF55FA" w:rsidRPr="00D267EF" w:rsidRDefault="00E620B6">
      <w:pPr>
        <w:keepNext/>
      </w:pPr>
    </w:p>
    <w:p w14:paraId="44AF7FF5" w14:textId="77777777" w:rsidR="00DF55FA" w:rsidRPr="00D267EF" w:rsidRDefault="00E620B6">
      <w:pPr>
        <w:keepNext/>
      </w:pPr>
    </w:p>
    <w:p w14:paraId="1BCCA310" w14:textId="77777777" w:rsidR="00DF55FA" w:rsidRPr="00D267EF" w:rsidRDefault="00E620B6">
      <w:pPr>
        <w:keepNext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11"/>
      </w:tblGrid>
      <w:tr w:rsidR="009C2E20" w14:paraId="32DF91F6" w14:textId="77777777">
        <w:tc>
          <w:tcPr>
            <w:tcW w:w="9611" w:type="dxa"/>
          </w:tcPr>
          <w:p w14:paraId="1498541D" w14:textId="77777777" w:rsidR="00DF55FA" w:rsidRPr="00D267EF" w:rsidRDefault="00E620B6">
            <w:pPr>
              <w:keepNext/>
              <w:tabs>
                <w:tab w:val="left" w:pos="6579"/>
              </w:tabs>
            </w:pPr>
            <w:r w:rsidRPr="00D267EF">
              <w:t>Steinar Westerberg</w:t>
            </w:r>
            <w:r w:rsidRPr="00D267EF">
              <w:t xml:space="preserve"> </w:t>
            </w:r>
          </w:p>
        </w:tc>
      </w:tr>
    </w:tbl>
    <w:p w14:paraId="45EF5166" w14:textId="77777777" w:rsidR="00DF55FA" w:rsidRPr="00D267EF" w:rsidRDefault="00E620B6">
      <w:r w:rsidRPr="00D267EF">
        <w:t xml:space="preserve"> Avdelings</w:t>
      </w:r>
      <w:r>
        <w:t>sjef</w:t>
      </w:r>
    </w:p>
    <w:p w14:paraId="09129764" w14:textId="77777777" w:rsidR="00681706" w:rsidRDefault="00E620B6">
      <w:pPr>
        <w:rPr>
          <w:rFonts w:ascii="Arial" w:hAnsi="Arial" w:cs="Arial"/>
          <w:sz w:val="22"/>
          <w:szCs w:val="22"/>
        </w:rPr>
      </w:pPr>
    </w:p>
    <w:p w14:paraId="294688EF" w14:textId="77777777" w:rsidR="00681706" w:rsidRPr="00681706" w:rsidRDefault="00E620B6">
      <w:pPr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</w:pPr>
      <w:r w:rsidRPr="00681706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 xml:space="preserve">Dette dokumentet er </w:t>
      </w:r>
      <w:r w:rsidRPr="00681706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>elektronisk godkjent og sendes uten signatur.</w:t>
      </w:r>
    </w:p>
    <w:p w14:paraId="11FFF5BE" w14:textId="77777777" w:rsidR="00681706" w:rsidRPr="00681706" w:rsidRDefault="00E620B6">
      <w:pPr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</w:pPr>
      <w:r w:rsidRPr="00681706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>Dokumenter som må ha signatur blir i tillegg sendt i papirversjon.</w:t>
      </w:r>
    </w:p>
    <w:p w14:paraId="2383475A" w14:textId="77777777" w:rsidR="00681706" w:rsidRDefault="00E620B6">
      <w:pPr>
        <w:rPr>
          <w:rFonts w:ascii="Arial" w:hAnsi="Arial" w:cs="Arial"/>
          <w:sz w:val="22"/>
          <w:szCs w:val="22"/>
        </w:rPr>
      </w:pPr>
    </w:p>
    <w:p w14:paraId="7E550C8D" w14:textId="77777777" w:rsidR="00884B89" w:rsidRDefault="00E620B6">
      <w:pPr>
        <w:rPr>
          <w:rFonts w:ascii="Arial" w:hAnsi="Arial" w:cs="Arial"/>
          <w:sz w:val="22"/>
          <w:szCs w:val="22"/>
        </w:rPr>
      </w:pPr>
    </w:p>
    <w:p w14:paraId="1FCF7AA8" w14:textId="77777777" w:rsidR="00DF55FA" w:rsidRDefault="00E620B6">
      <w:pPr>
        <w:rPr>
          <w:rFonts w:ascii="Arial" w:hAnsi="Arial" w:cs="Arial"/>
          <w:sz w:val="22"/>
          <w:szCs w:val="22"/>
        </w:rPr>
      </w:pPr>
      <w:bookmarkStart w:id="13" w:name="KopiTilTabell"/>
      <w:bookmarkEnd w:id="13"/>
    </w:p>
    <w:p w14:paraId="75A13534" w14:textId="77777777" w:rsidR="008B048F" w:rsidRDefault="00E620B6">
      <w:pPr>
        <w:rPr>
          <w:rFonts w:ascii="Arial" w:hAnsi="Arial" w:cs="Arial"/>
          <w:sz w:val="22"/>
          <w:szCs w:val="22"/>
        </w:rPr>
      </w:pPr>
    </w:p>
    <w:p w14:paraId="4482F23E" w14:textId="77777777" w:rsidR="008B048F" w:rsidRDefault="00E620B6">
      <w:pPr>
        <w:rPr>
          <w:rFonts w:ascii="Arial" w:hAnsi="Arial" w:cs="Arial"/>
          <w:sz w:val="22"/>
          <w:szCs w:val="22"/>
        </w:rPr>
      </w:pPr>
      <w:bookmarkStart w:id="14" w:name="VEDLEGG"/>
      <w:bookmarkEnd w:id="14"/>
    </w:p>
    <w:p w14:paraId="6E941328" w14:textId="77777777" w:rsidR="00DF55FA" w:rsidRDefault="00E620B6">
      <w:pPr>
        <w:rPr>
          <w:rFonts w:ascii="Arial" w:hAnsi="Arial" w:cs="Arial"/>
          <w:sz w:val="22"/>
          <w:szCs w:val="22"/>
        </w:rPr>
      </w:pPr>
    </w:p>
    <w:sectPr w:rsidR="00DF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851" w:bottom="851" w:left="1418" w:header="284" w:footer="13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BCF01" w14:textId="77777777" w:rsidR="00000000" w:rsidRDefault="00E620B6">
      <w:r>
        <w:separator/>
      </w:r>
    </w:p>
  </w:endnote>
  <w:endnote w:type="continuationSeparator" w:id="0">
    <w:p w14:paraId="29087240" w14:textId="77777777" w:rsidR="00000000" w:rsidRDefault="00E6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tilsynetApexSansLigh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3CB1C" w14:textId="77777777" w:rsidR="00131446" w:rsidRDefault="00E620B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663DD71" w14:textId="77777777" w:rsidR="00131446" w:rsidRDefault="00E620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6EA55" w14:textId="77777777" w:rsidR="00131446" w:rsidRDefault="00E620B6">
    <w:pPr>
      <w:pStyle w:val="Bunntekst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17991D" wp14:editId="3A59A176">
              <wp:simplePos x="0" y="0"/>
              <wp:positionH relativeFrom="column">
                <wp:posOffset>-800100</wp:posOffset>
              </wp:positionH>
              <wp:positionV relativeFrom="paragraph">
                <wp:posOffset>-143510</wp:posOffset>
              </wp:positionV>
              <wp:extent cx="7429500" cy="228600"/>
              <wp:effectExtent l="0" t="0" r="0" b="63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3CA4C" w14:textId="77777777" w:rsidR="00131446" w:rsidRDefault="00E620B6">
                          <w:pPr>
                            <w:pStyle w:val="Bunntekst"/>
                            <w:ind w:left="-1418" w:right="-802"/>
                            <w:jc w:val="center"/>
                            <w:rPr>
                              <w:sz w:val="16"/>
                              <w:szCs w:val="2"/>
                            </w:rPr>
                          </w:pPr>
                          <w:r>
                            <w:rPr>
                              <w:sz w:val="16"/>
                              <w:szCs w:val="2"/>
                            </w:rPr>
                            <w:t xml:space="preserve">Side </w:t>
                          </w:r>
                          <w:r>
                            <w:rPr>
                              <w:sz w:val="16"/>
                              <w:szCs w:val="2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2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2"/>
                            </w:rPr>
                            <w:t>2</w:t>
                          </w:r>
                          <w:r>
                            <w:rPr>
                              <w:sz w:val="16"/>
                              <w:szCs w:val="2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2"/>
                            </w:rPr>
                            <w:t xml:space="preserve"> av </w:t>
                          </w:r>
                          <w:r>
                            <w:rPr>
                              <w:sz w:val="16"/>
                              <w:szCs w:val="2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2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zCs w:val="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2"/>
                            </w:rPr>
                            <w:t>1</w:t>
                          </w:r>
                          <w:r>
                            <w:rPr>
                              <w:sz w:val="16"/>
                              <w:szCs w:val="2"/>
                            </w:rPr>
                            <w:fldChar w:fldCharType="end"/>
                          </w:r>
                        </w:p>
                        <w:p w14:paraId="1E749257" w14:textId="77777777" w:rsidR="00131446" w:rsidRDefault="00E620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1799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63pt;margin-top:-11.3pt;width:58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" stroked="f">
              <v:textbox>
                <w:txbxContent>
                  <w:p w14:paraId="1A03CA4C" w14:textId="77777777" w:rsidR="00131446" w:rsidRDefault="00E620B6">
                    <w:pPr>
                      <w:pStyle w:val="Bunntekst"/>
                      <w:ind w:left="-1418" w:right="-802"/>
                      <w:jc w:val="center"/>
                      <w:rPr>
                        <w:sz w:val="16"/>
                        <w:szCs w:val="2"/>
                      </w:rPr>
                    </w:pPr>
                    <w:r>
                      <w:rPr>
                        <w:sz w:val="16"/>
                        <w:szCs w:val="2"/>
                      </w:rPr>
                      <w:t xml:space="preserve">Side </w:t>
                    </w:r>
                    <w:r>
                      <w:rPr>
                        <w:sz w:val="16"/>
                        <w:szCs w:val="2"/>
                      </w:rPr>
                      <w:fldChar w:fldCharType="begin"/>
                    </w:r>
                    <w:r>
                      <w:rPr>
                        <w:sz w:val="16"/>
                        <w:szCs w:val="2"/>
                      </w:rPr>
                      <w:instrText xml:space="preserve"> PAGE </w:instrText>
                    </w:r>
                    <w:r>
                      <w:rPr>
                        <w:sz w:val="16"/>
                        <w:szCs w:val="2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2"/>
                      </w:rPr>
                      <w:t>2</w:t>
                    </w:r>
                    <w:r>
                      <w:rPr>
                        <w:sz w:val="16"/>
                        <w:szCs w:val="2"/>
                      </w:rPr>
                      <w:fldChar w:fldCharType="end"/>
                    </w:r>
                    <w:r>
                      <w:rPr>
                        <w:sz w:val="16"/>
                        <w:szCs w:val="2"/>
                      </w:rPr>
                      <w:t xml:space="preserve"> av </w:t>
                    </w:r>
                    <w:r>
                      <w:rPr>
                        <w:sz w:val="16"/>
                        <w:szCs w:val="2"/>
                      </w:rPr>
                      <w:fldChar w:fldCharType="begin"/>
                    </w:r>
                    <w:r>
                      <w:rPr>
                        <w:sz w:val="16"/>
                        <w:szCs w:val="2"/>
                      </w:rPr>
                      <w:instrText xml:space="preserve"> NUMPAGES </w:instrText>
                    </w:r>
                    <w:r>
                      <w:rPr>
                        <w:sz w:val="16"/>
                        <w:szCs w:val="2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2"/>
                      </w:rPr>
                      <w:t>1</w:t>
                    </w:r>
                    <w:r>
                      <w:rPr>
                        <w:sz w:val="16"/>
                        <w:szCs w:val="2"/>
                      </w:rPr>
                      <w:fldChar w:fldCharType="end"/>
                    </w:r>
                  </w:p>
                  <w:p w14:paraId="1E749257" w14:textId="77777777" w:rsidR="00131446" w:rsidRDefault="00E620B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6D167" w14:textId="77777777" w:rsidR="00131446" w:rsidRPr="00FA676E" w:rsidRDefault="00E620B6">
    <w:pPr>
      <w:tabs>
        <w:tab w:val="left" w:pos="1065"/>
        <w:tab w:val="right" w:pos="9638"/>
      </w:tabs>
      <w:rPr>
        <w:rFonts w:ascii="Arial" w:hAnsi="Arial" w:cs="Arial"/>
        <w:b/>
        <w:noProof/>
        <w:color w:val="FF0000"/>
        <w:sz w:val="14"/>
        <w:szCs w:val="14"/>
      </w:rPr>
    </w:pPr>
    <w:r>
      <w:rPr>
        <w:rFonts w:ascii="MattilsynetApexSansLight" w:hAnsi="MattilsynetApexSansLight" w:cs="Arial"/>
        <w:b/>
        <w:noProof/>
        <w:color w:val="FF0000"/>
        <w:sz w:val="16"/>
        <w:szCs w:val="16"/>
      </w:rPr>
      <w:tab/>
    </w:r>
    <w:r>
      <w:rPr>
        <w:rFonts w:ascii="MattilsynetApexSansLight" w:hAnsi="MattilsynetApexSansLight" w:cs="Arial"/>
        <w:b/>
        <w:noProof/>
        <w:color w:val="FF0000"/>
        <w:sz w:val="16"/>
        <w:szCs w:val="16"/>
      </w:rPr>
      <w:tab/>
    </w: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9400FD" wp14:editId="17F6AA93">
              <wp:simplePos x="0" y="0"/>
              <wp:positionH relativeFrom="column">
                <wp:posOffset>-890905</wp:posOffset>
              </wp:positionH>
              <wp:positionV relativeFrom="paragraph">
                <wp:posOffset>-19685</wp:posOffset>
              </wp:positionV>
              <wp:extent cx="7543800" cy="0"/>
              <wp:effectExtent l="13970" t="8890" r="5080" b="101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F9B7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70.15pt,-1.55pt" to="523.85pt,-1.55pt" strokecolor="#9f9b74"/>
          </w:pict>
        </mc:Fallback>
      </mc:AlternateContent>
    </w:r>
    <w:r>
      <w:rPr>
        <w:rFonts w:ascii="Arial" w:hAnsi="Arial" w:cs="Arial"/>
        <w:b/>
        <w:noProof/>
        <w:color w:val="FF0000"/>
        <w:sz w:val="14"/>
        <w:szCs w:val="14"/>
      </w:rPr>
      <w:drawing>
        <wp:inline distT="0" distB="0" distL="0" distR="0" wp14:anchorId="6CFA99DF" wp14:editId="64EE035C">
          <wp:extent cx="809625" cy="95250"/>
          <wp:effectExtent l="0" t="0" r="9525" b="0"/>
          <wp:docPr id="2" name="Bilde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C56A1" w14:textId="77777777" w:rsidR="00131446" w:rsidRDefault="00E620B6">
    <w:pPr>
      <w:jc w:val="right"/>
      <w:rPr>
        <w:rFonts w:ascii="Arial" w:hAnsi="Arial" w:cs="Arial"/>
        <w:noProof/>
        <w:color w:val="FF0000"/>
        <w:sz w:val="2"/>
        <w:szCs w:val="2"/>
      </w:rPr>
    </w:pPr>
  </w:p>
  <w:tbl>
    <w:tblPr>
      <w:tblW w:w="9720" w:type="dxa"/>
      <w:tblInd w:w="108" w:type="dxa"/>
      <w:tblLook w:val="01E0" w:firstRow="1" w:lastRow="1" w:firstColumn="1" w:lastColumn="1" w:noHBand="0" w:noVBand="0"/>
    </w:tblPr>
    <w:tblGrid>
      <w:gridCol w:w="3240"/>
      <w:gridCol w:w="3240"/>
      <w:gridCol w:w="3240"/>
    </w:tblGrid>
    <w:tr w:rsidR="009C2E20" w14:paraId="4E202CD0" w14:textId="77777777">
      <w:trPr>
        <w:trHeight w:val="979"/>
      </w:trPr>
      <w:tc>
        <w:tcPr>
          <w:tcW w:w="3175" w:type="dxa"/>
        </w:tcPr>
        <w:p w14:paraId="63B41BC7" w14:textId="77777777" w:rsidR="00131446" w:rsidRDefault="00E620B6">
          <w:pPr>
            <w:ind w:hanging="108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Mattilsynet</w:t>
          </w:r>
        </w:p>
        <w:p w14:paraId="0F9A9177" w14:textId="77777777" w:rsidR="00131446" w:rsidRDefault="00E620B6">
          <w:pPr>
            <w:ind w:left="-108"/>
            <w:rPr>
              <w:rFonts w:ascii="Arial" w:hAnsi="Arial" w:cs="Arial"/>
              <w:b/>
              <w:sz w:val="16"/>
              <w:szCs w:val="16"/>
            </w:rPr>
          </w:pPr>
          <w:bookmarkStart w:id="15" w:name="AdmBetegnelse"/>
          <w:r>
            <w:rPr>
              <w:rFonts w:ascii="Arial" w:hAnsi="Arial" w:cs="Arial"/>
              <w:b/>
              <w:sz w:val="16"/>
              <w:szCs w:val="16"/>
            </w:rPr>
            <w:t>Seksjon fisk og mat Helgeland</w:t>
          </w:r>
          <w:bookmarkEnd w:id="15"/>
        </w:p>
        <w:p w14:paraId="37CB327C" w14:textId="77777777" w:rsidR="00FD35B1" w:rsidRDefault="00E620B6">
          <w:pPr>
            <w:ind w:left="-108"/>
            <w:rPr>
              <w:rFonts w:ascii="Arial" w:hAnsi="Arial" w:cs="Arial"/>
              <w:b/>
              <w:sz w:val="16"/>
              <w:szCs w:val="16"/>
            </w:rPr>
          </w:pPr>
        </w:p>
        <w:p w14:paraId="095C97FE" w14:textId="77777777" w:rsidR="00131446" w:rsidRDefault="00E620B6" w:rsidP="00FD35B1">
          <w:pPr>
            <w:rPr>
              <w:rFonts w:ascii="Arial" w:hAnsi="Arial" w:cs="Arial"/>
              <w:b/>
              <w:sz w:val="16"/>
              <w:szCs w:val="16"/>
            </w:rPr>
          </w:pPr>
        </w:p>
        <w:p w14:paraId="403F8FB0" w14:textId="77777777" w:rsidR="00131446" w:rsidRDefault="00E620B6">
          <w:pPr>
            <w:ind w:hanging="108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3175" w:type="dxa"/>
        </w:tcPr>
        <w:p w14:paraId="6178376A" w14:textId="77777777" w:rsidR="00131446" w:rsidRDefault="00E620B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Saksbehandler: </w:t>
          </w:r>
          <w:bookmarkStart w:id="16" w:name="SaksbehandlerNavn2"/>
          <w:r>
            <w:rPr>
              <w:rFonts w:ascii="Arial" w:hAnsi="Arial" w:cs="Arial"/>
              <w:sz w:val="16"/>
              <w:szCs w:val="16"/>
            </w:rPr>
            <w:t>Liv Norderval</w:t>
          </w:r>
          <w:bookmarkEnd w:id="16"/>
        </w:p>
        <w:p w14:paraId="5BF2CD99" w14:textId="77777777" w:rsidR="00131446" w:rsidRDefault="00E620B6">
          <w:pPr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Tlf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</w:t>
          </w:r>
          <w:bookmarkStart w:id="17" w:name="SaksbehTlf"/>
          <w:bookmarkStart w:id="18" w:name="Admtelefon"/>
          <w:bookmarkEnd w:id="17"/>
          <w:r>
            <w:rPr>
              <w:rFonts w:ascii="Arial" w:hAnsi="Arial" w:cs="Arial"/>
              <w:sz w:val="16"/>
              <w:szCs w:val="16"/>
            </w:rPr>
            <w:t>22400000</w:t>
          </w:r>
          <w:bookmarkEnd w:id="18"/>
        </w:p>
        <w:p w14:paraId="0CC65C99" w14:textId="77777777" w:rsidR="00131446" w:rsidRDefault="00E620B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E-post: </w:t>
          </w:r>
          <w:hyperlink r:id="rId2" w:history="1">
            <w:r>
              <w:rPr>
                <w:rStyle w:val="Hyperkobling"/>
                <w:rFonts w:ascii="Arial" w:hAnsi="Arial" w:cs="Arial"/>
                <w:color w:val="auto"/>
                <w:sz w:val="16"/>
                <w:szCs w:val="16"/>
              </w:rPr>
              <w:t>postmottak@mattilsynet.no</w:t>
            </w:r>
          </w:hyperlink>
        </w:p>
        <w:p w14:paraId="30DB1048" w14:textId="77777777" w:rsidR="00131446" w:rsidRDefault="00E620B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(Husk mottakers navn)</w:t>
          </w:r>
        </w:p>
      </w:tc>
      <w:tc>
        <w:tcPr>
          <w:tcW w:w="3175" w:type="dxa"/>
        </w:tcPr>
        <w:p w14:paraId="5F0C648F" w14:textId="77777777" w:rsidR="00131446" w:rsidRDefault="00E620B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Postadresse: </w:t>
          </w:r>
        </w:p>
        <w:p w14:paraId="797AA9F2" w14:textId="77777777" w:rsidR="00131446" w:rsidRDefault="00E620B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Felles postmottak, Postboks 383 </w:t>
          </w:r>
        </w:p>
        <w:p w14:paraId="71D6AD9C" w14:textId="77777777" w:rsidR="00131446" w:rsidRDefault="00E620B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2381 Brumunddal</w:t>
          </w:r>
        </w:p>
        <w:p w14:paraId="53CF2DE3" w14:textId="77777777" w:rsidR="00131446" w:rsidRPr="0069611C" w:rsidRDefault="00E620B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Telefaks: 23 21 68 01</w:t>
          </w:r>
        </w:p>
      </w:tc>
    </w:tr>
  </w:tbl>
  <w:p w14:paraId="43640F1D" w14:textId="77777777" w:rsidR="00131446" w:rsidRDefault="00E620B6">
    <w:pPr>
      <w:pStyle w:val="Bunntekst"/>
      <w:rPr>
        <w:sz w:val="4"/>
        <w:szCs w:val="4"/>
      </w:rPr>
    </w:pPr>
  </w:p>
  <w:p w14:paraId="70A4A66C" w14:textId="77777777" w:rsidR="00131446" w:rsidRDefault="00E620B6">
    <w:pPr>
      <w:pStyle w:val="Bunntekst"/>
      <w:rPr>
        <w:sz w:val="2"/>
        <w:szCs w:val="2"/>
      </w:rPr>
    </w:pPr>
  </w:p>
  <w:p w14:paraId="779163BC" w14:textId="77777777" w:rsidR="00131446" w:rsidRDefault="00E620B6">
    <w:pPr>
      <w:pStyle w:val="Bunntek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AF823" w14:textId="77777777" w:rsidR="00000000" w:rsidRDefault="00E620B6">
      <w:r>
        <w:separator/>
      </w:r>
    </w:p>
  </w:footnote>
  <w:footnote w:type="continuationSeparator" w:id="0">
    <w:p w14:paraId="7758E784" w14:textId="77777777" w:rsidR="00000000" w:rsidRDefault="00E6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2C26B" w14:textId="77777777" w:rsidR="007B51BD" w:rsidRDefault="00E620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632EB" w14:textId="77777777" w:rsidR="00131446" w:rsidRDefault="00E620B6">
    <w:pPr>
      <w:pStyle w:val="Topptekst"/>
    </w:pPr>
  </w:p>
  <w:p w14:paraId="334C5091" w14:textId="77777777" w:rsidR="00131446" w:rsidRDefault="00E620B6">
    <w:pPr>
      <w:pStyle w:val="Top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A35EB" w14:textId="77777777" w:rsidR="00131446" w:rsidRDefault="00E620B6">
    <w:pPr>
      <w:pStyle w:val="Topptekst"/>
      <w:rPr>
        <w:sz w:val="12"/>
      </w:rPr>
    </w:pPr>
    <w:r>
      <w:rPr>
        <w:sz w:val="1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D12F5"/>
    <w:multiLevelType w:val="hybridMultilevel"/>
    <w:tmpl w:val="C3BCA8A6"/>
    <w:lvl w:ilvl="0" w:tplc="BA8E9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09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69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6A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8A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5A6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8D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AD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F6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B1F8C"/>
    <w:multiLevelType w:val="hybridMultilevel"/>
    <w:tmpl w:val="CD2453C2"/>
    <w:lvl w:ilvl="0" w:tplc="BA002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20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8F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25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04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0D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4A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4E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CD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20"/>
    <w:rsid w:val="009C2E20"/>
    <w:rsid w:val="00E6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446C0"/>
  <w15:docId w15:val="{BCD4BEF3-A7AF-40CF-987F-53E2C2A4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D0B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2D0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15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mattilsynet.n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9061</Characters>
  <Application>Microsoft Office Word</Application>
  <DocSecurity>4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Brevmal</vt:lpstr>
    </vt:vector>
  </TitlesOfParts>
  <Company>ErgoEphorma A/S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</dc:title>
  <dc:creator>Grethe Oliv Hermann</dc:creator>
  <cp:lastModifiedBy>Liv Norderval</cp:lastModifiedBy>
  <cp:revision>2</cp:revision>
  <cp:lastPrinted>2004-05-24T13:09:00Z</cp:lastPrinted>
  <dcterms:created xsi:type="dcterms:W3CDTF">2020-12-10T15:32:00Z</dcterms:created>
  <dcterms:modified xsi:type="dcterms:W3CDTF">2020-12-10T15:32:00Z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svarlig">
    <vt:lpwstr>AMF/KS</vt:lpwstr>
  </property>
  <property fmtid="{D5CDD505-2E9C-101B-9397-08002B2CF9AE}" pid="3" name="Versjon">
    <vt:lpwstr>10.06.2004</vt:lpwstr>
  </property>
</Properties>
</file>