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AB3" w14:textId="6DB888E2" w:rsidR="00103660" w:rsidRDefault="00103660" w:rsidP="00103660">
      <w:r w:rsidRPr="00557380">
        <w:t xml:space="preserve">Dette er et eksempel som er utviklet av Norske Lakseelver, og </w:t>
      </w:r>
      <w:r w:rsidR="00EA2168">
        <w:t>det er viktig å</w:t>
      </w:r>
      <w:r w:rsidRPr="00557380">
        <w:t xml:space="preserve"> tilpasse</w:t>
      </w:r>
      <w:r w:rsidR="00EA2168">
        <w:t xml:space="preserve"> det</w:t>
      </w:r>
      <w:r w:rsidRPr="00557380">
        <w:t xml:space="preserve"> hver enkelt elv. Det er viktig at fiskereglene får en god gjennomgang før de blir vedtatt, og ved behov for veiledning må dere gjerne kontakt</w:t>
      </w:r>
      <w:r w:rsidR="002B7011">
        <w:t>e</w:t>
      </w:r>
      <w:r w:rsidRPr="00557380">
        <w:t xml:space="preserve"> oss. </w:t>
      </w:r>
      <w:r w:rsidR="00147792">
        <w:t xml:space="preserve">Husk å forankre fiskereglene i driftsplan, og at de skal være rettferdige og biologisk begrunnet. </w:t>
      </w:r>
      <w:r w:rsidR="00EA2168">
        <w:t>Husk å bruk</w:t>
      </w:r>
      <w:r w:rsidR="00EB2727">
        <w:t>e</w:t>
      </w:r>
      <w:r w:rsidR="00EA2168">
        <w:t xml:space="preserve"> dette følgedokumentet aktivt når man går gjennom eksempelet</w:t>
      </w:r>
      <w:r w:rsidR="002B7011">
        <w:t>.</w:t>
      </w:r>
    </w:p>
    <w:p w14:paraId="161A0F86" w14:textId="04370D74" w:rsidR="00557380" w:rsidRPr="00557380" w:rsidRDefault="00557380" w:rsidP="00557380">
      <w:pPr>
        <w:pStyle w:val="Overskrift1"/>
        <w:rPr>
          <w:b/>
          <w:bCs/>
          <w:color w:val="auto"/>
          <w:sz w:val="22"/>
          <w:szCs w:val="22"/>
        </w:rPr>
      </w:pPr>
      <w:r w:rsidRPr="00557380">
        <w:rPr>
          <w:b/>
          <w:bCs/>
          <w:color w:val="auto"/>
        </w:rPr>
        <w:t>Introduksjon</w:t>
      </w:r>
    </w:p>
    <w:p w14:paraId="79C80410" w14:textId="1E2981A3" w:rsidR="00103660" w:rsidRPr="00557380" w:rsidRDefault="00C9481B">
      <w:r w:rsidRPr="00557380">
        <w:t xml:space="preserve">Dokumentet starter med en kort introduksjon om fiskereglene og fiskeoppsyn. Vi oppfordrer alle forvaltningslag til å ha en god dialog med SNO og samarbeide om et godt oppsyn, spesielt i munningsområdet. Utenom sesong er det forbudt å fiske nærmere en 100 meter fra grense elv/sjø, </w:t>
      </w:r>
      <w:r w:rsidR="00EB2727">
        <w:t xml:space="preserve">eller 100 m fra elveutløpet, </w:t>
      </w:r>
      <w:r w:rsidRPr="00557380">
        <w:t>men vær oppmerksom på at statsforvalteren i hver enkelt region kan ha utvidet området og tidsrommet for fiskeforbudet rundt grense elv/sjø. Husk derfor å sjekke lokale regler.</w:t>
      </w:r>
    </w:p>
    <w:p w14:paraId="4F1CB650" w14:textId="77777777" w:rsidR="00C9481B" w:rsidRPr="00557380" w:rsidRDefault="00C9481B" w:rsidP="00C9481B">
      <w:pPr>
        <w:pStyle w:val="Overskrift1"/>
        <w:rPr>
          <w:b/>
          <w:bCs/>
          <w:color w:val="auto"/>
        </w:rPr>
      </w:pPr>
      <w:r w:rsidRPr="00557380">
        <w:rPr>
          <w:b/>
          <w:bCs/>
          <w:color w:val="auto"/>
        </w:rPr>
        <w:t xml:space="preserve">§1 Fisketid laks og sjøørret </w:t>
      </w:r>
    </w:p>
    <w:p w14:paraId="1B8AFE45" w14:textId="6AB6BC67" w:rsidR="00C9481B" w:rsidRPr="00557380" w:rsidRDefault="00C9481B" w:rsidP="00C9481B">
      <w:r w:rsidRPr="00557380">
        <w:t xml:space="preserve">Du finner fisketiden i </w:t>
      </w:r>
      <w:hyperlink r:id="rId4" w:history="1">
        <w:r w:rsidR="00D94490" w:rsidRPr="00D94490">
          <w:rPr>
            <w:rStyle w:val="Hyperkobling"/>
          </w:rPr>
          <w:t>forskrift om fiske etter anadrome laksefisk i vassdrag</w:t>
        </w:r>
      </w:hyperlink>
      <w:r w:rsidR="00D94490">
        <w:t>.</w:t>
      </w:r>
      <w:r w:rsidRPr="00557380">
        <w:t xml:space="preserve">. Dersom styret har vedtatt kortere sesong enn det som står i forskrifta er det </w:t>
      </w:r>
      <w:r w:rsidR="00D94490">
        <w:t>den</w:t>
      </w:r>
      <w:r w:rsidR="00D94490" w:rsidRPr="00557380">
        <w:t xml:space="preserve"> </w:t>
      </w:r>
      <w:r w:rsidRPr="00557380">
        <w:t xml:space="preserve">som skal stå her. </w:t>
      </w:r>
    </w:p>
    <w:p w14:paraId="1F7EA614" w14:textId="0043608D" w:rsidR="002C43F3" w:rsidRPr="00557380" w:rsidRDefault="002C43F3" w:rsidP="002C43F3">
      <w:pPr>
        <w:pStyle w:val="Overskrift1"/>
        <w:rPr>
          <w:b/>
          <w:bCs/>
          <w:color w:val="auto"/>
        </w:rPr>
      </w:pPr>
      <w:r w:rsidRPr="00557380">
        <w:rPr>
          <w:b/>
          <w:bCs/>
          <w:color w:val="auto"/>
        </w:rPr>
        <w:t>§2 Fredningsområder</w:t>
      </w:r>
      <w:r w:rsidR="00147792">
        <w:rPr>
          <w:b/>
          <w:bCs/>
          <w:color w:val="auto"/>
        </w:rPr>
        <w:t xml:space="preserve"> og fiskefredning</w:t>
      </w:r>
    </w:p>
    <w:p w14:paraId="15CFC033" w14:textId="110A0903" w:rsidR="00D94490" w:rsidRPr="009C6190" w:rsidRDefault="002C43F3" w:rsidP="00D94490">
      <w:pPr>
        <w:pStyle w:val="Merknadstekst"/>
        <w:rPr>
          <w:sz w:val="22"/>
          <w:szCs w:val="22"/>
        </w:rPr>
      </w:pPr>
      <w:r w:rsidRPr="009C6190">
        <w:rPr>
          <w:sz w:val="22"/>
          <w:szCs w:val="22"/>
        </w:rPr>
        <w:t xml:space="preserve">Det kan være viktig å frede enkelte deler av vassdraget for å gi fisken rom for hvile etter oppvandring. </w:t>
      </w:r>
      <w:r w:rsidR="00D94490" w:rsidRPr="009C6190">
        <w:rPr>
          <w:sz w:val="22"/>
          <w:szCs w:val="22"/>
        </w:rPr>
        <w:t xml:space="preserve">Det er i regi </w:t>
      </w:r>
      <w:r w:rsidR="00D94490" w:rsidRPr="009C6190">
        <w:rPr>
          <w:sz w:val="22"/>
          <w:szCs w:val="22"/>
        </w:rPr>
        <w:t>av Statsforvalteren</w:t>
      </w:r>
      <w:r w:rsidR="00D94490" w:rsidRPr="009C6190">
        <w:rPr>
          <w:sz w:val="22"/>
          <w:szCs w:val="22"/>
        </w:rPr>
        <w:t xml:space="preserve"> innført egne </w:t>
      </w:r>
      <w:hyperlink r:id="rId5" w:history="1">
        <w:r w:rsidR="00D94490" w:rsidRPr="009C6190">
          <w:rPr>
            <w:rStyle w:val="Hyperkobling"/>
            <w:sz w:val="22"/>
            <w:szCs w:val="22"/>
          </w:rPr>
          <w:t>fredningssoneforskrifter</w:t>
        </w:r>
      </w:hyperlink>
      <w:r w:rsidR="00D94490" w:rsidRPr="009C6190">
        <w:rPr>
          <w:sz w:val="22"/>
          <w:szCs w:val="22"/>
        </w:rPr>
        <w:t xml:space="preserve">. </w:t>
      </w:r>
      <w:r w:rsidR="00D94490" w:rsidRPr="009C6190">
        <w:rPr>
          <w:sz w:val="22"/>
          <w:szCs w:val="22"/>
        </w:rPr>
        <w:t>Ellers er det i lakseloven § 15 en generell bestemmelse om fredningssone 50 m oppstrøms/nedstrøms fiskepassasjer</w:t>
      </w:r>
      <w:r w:rsidR="00D94490" w:rsidRPr="009C6190">
        <w:rPr>
          <w:sz w:val="22"/>
          <w:szCs w:val="22"/>
        </w:rPr>
        <w:t>.</w:t>
      </w:r>
    </w:p>
    <w:p w14:paraId="58B61139" w14:textId="5B49BC69" w:rsidR="002C43F3" w:rsidRDefault="002C43F3" w:rsidP="002C43F3">
      <w:r w:rsidRPr="00557380">
        <w:t xml:space="preserve">. Noen forvaltningslag velger også å frede noen utsatte områder som er spesielt viktige hvilesteder/gyteområder for fisken. Spesielt områder man risikerer at det kan være enkelt å ta mye fisk på kort tid. Dette gjelder også vandringshindre som fisketrapper. I tillegg kan det være lurt å frede fiske fra broer som krysser elva.   </w:t>
      </w:r>
    </w:p>
    <w:p w14:paraId="7275FFCB" w14:textId="62748A35" w:rsidR="002B7011" w:rsidRPr="00557380" w:rsidRDefault="002B7011" w:rsidP="002C43F3">
      <w:r>
        <w:t xml:space="preserve">Her er det også mulig å legge inne evt. fredninger av arter/kjønn og størrelse. Dette må dere også vurdere nøye om det er riktig å innføre. Husk at det i så fall skal være biologisk begrunnet, med bakgrunn i bestandssituasjonen. </w:t>
      </w:r>
    </w:p>
    <w:p w14:paraId="44FB3A0A" w14:textId="338EA3CF" w:rsidR="002C43F3" w:rsidRPr="00557380" w:rsidRDefault="002C43F3" w:rsidP="002C43F3">
      <w:pPr>
        <w:pStyle w:val="Overskrift1"/>
        <w:rPr>
          <w:b/>
          <w:bCs/>
          <w:color w:val="auto"/>
        </w:rPr>
      </w:pPr>
      <w:r w:rsidRPr="00557380">
        <w:rPr>
          <w:b/>
          <w:bCs/>
          <w:color w:val="auto"/>
        </w:rPr>
        <w:t>§3 Midtsesong</w:t>
      </w:r>
      <w:r w:rsidR="00557380">
        <w:rPr>
          <w:b/>
          <w:bCs/>
          <w:color w:val="auto"/>
        </w:rPr>
        <w:t>s</w:t>
      </w:r>
      <w:r w:rsidRPr="00557380">
        <w:rPr>
          <w:b/>
          <w:bCs/>
          <w:color w:val="auto"/>
        </w:rPr>
        <w:t>evaluering</w:t>
      </w:r>
    </w:p>
    <w:p w14:paraId="74EE7044" w14:textId="15715A8E" w:rsidR="002C43F3" w:rsidRPr="00557380" w:rsidRDefault="002C43F3" w:rsidP="002C43F3">
      <w:r w:rsidRPr="00557380">
        <w:t xml:space="preserve">Her må man opplyse fiskere om at ved midtsesongsevaluering kan fiskereglene endres. Midtsesongsevaluering er viktig for å </w:t>
      </w:r>
      <w:r w:rsidR="00D94490">
        <w:t>tilpasse beskatningen etter innsigets størrelse, slik at vi har</w:t>
      </w:r>
      <w:r w:rsidRPr="00557380">
        <w:t xml:space="preserve"> nok gytefisk etter sesong. Det er vanlig å avtale forhåndsavtalte tiltak med statsforvalteren, og vi anbefaler at dere tar kontakt med fiskeforvalter i din region for å utarbeide slike tiltak.</w:t>
      </w:r>
    </w:p>
    <w:p w14:paraId="4AB57931" w14:textId="77777777" w:rsidR="002C43F3" w:rsidRPr="00557380" w:rsidRDefault="002C43F3" w:rsidP="002C43F3">
      <w:pPr>
        <w:pStyle w:val="Overskrift1"/>
        <w:rPr>
          <w:b/>
          <w:bCs/>
          <w:color w:val="auto"/>
        </w:rPr>
      </w:pPr>
      <w:r w:rsidRPr="00557380">
        <w:rPr>
          <w:b/>
          <w:bCs/>
          <w:color w:val="auto"/>
        </w:rPr>
        <w:t>§4 Kvotebestemmelser, minstemål og gjenutsetting</w:t>
      </w:r>
    </w:p>
    <w:p w14:paraId="2DC4E0B6" w14:textId="014C3620" w:rsidR="002C43F3" w:rsidRPr="00557380" w:rsidRDefault="002C43F3" w:rsidP="002C43F3">
      <w:r w:rsidRPr="00557380">
        <w:t>Bakgrunn: Noen vassdrag har fastsatt kvote i forskrifta. Dersom laget legger seg på en strenger kvote, er det den som skrives inn her. Det er mange viktige hensyn å ta når man innfører kvoter, og de</w:t>
      </w:r>
      <w:r w:rsidR="009C6190">
        <w:t xml:space="preserve"> må oppfattes</w:t>
      </w:r>
      <w:r w:rsidRPr="00557380">
        <w:t xml:space="preserve"> </w:t>
      </w:r>
      <w:r w:rsidR="009C6190">
        <w:t xml:space="preserve">å </w:t>
      </w:r>
      <w:r w:rsidRPr="00557380">
        <w:t>være rettferdige og</w:t>
      </w:r>
      <w:r w:rsidR="009C6190">
        <w:t xml:space="preserve"> samtidig være</w:t>
      </w:r>
      <w:r w:rsidRPr="00557380">
        <w:t xml:space="preserve"> biologisk begrunnede. Husk at ved å innføre strenge kvoter gjør dette at fiskeoppsynet får en større jobb å følge opp. </w:t>
      </w:r>
      <w:r w:rsidR="003055D9" w:rsidRPr="00557380">
        <w:t xml:space="preserve">Vi anbefaler at døgnkort følger døgnet fordi det gjør det praktisk lettere å følge opp døgnkvoter. Dersom man har døgnkort som følger andre tidspunkt anbefaler vi at </w:t>
      </w:r>
      <w:proofErr w:type="spellStart"/>
      <w:r w:rsidR="003055D9" w:rsidRPr="00557380">
        <w:t>døgnkvota</w:t>
      </w:r>
      <w:proofErr w:type="spellEnd"/>
      <w:r w:rsidR="003055D9" w:rsidRPr="00557380">
        <w:t xml:space="preserve"> følger samme tidspunkt. Det vil si at om døgnkortet varer fra kl. 18 den ene dagen til kl. 18 neste dag så kan det tas inntil det antallet fisk som kvotestørrelsen sier innenfor dette tidsrommet. Hvis </w:t>
      </w:r>
      <w:proofErr w:type="spellStart"/>
      <w:r w:rsidR="003055D9" w:rsidRPr="00557380">
        <w:t>døgnkvota</w:t>
      </w:r>
      <w:proofErr w:type="spellEnd"/>
      <w:r w:rsidR="003055D9" w:rsidRPr="00557380">
        <w:t xml:space="preserve"> er 1 laks så er det lov til å fiske 1 laks </w:t>
      </w:r>
      <w:r w:rsidR="003055D9" w:rsidRPr="00557380">
        <w:lastRenderedPageBreak/>
        <w:t xml:space="preserve">fra kl. 18 den ene dagen til kl. 18 neste dag. Ordninger med kort som varer kortere enn ett døgn gir ikke fiskeren anledning til å fange mer enn </w:t>
      </w:r>
      <w:proofErr w:type="spellStart"/>
      <w:r w:rsidR="003055D9" w:rsidRPr="00557380">
        <w:t>døgnkvota</w:t>
      </w:r>
      <w:proofErr w:type="spellEnd"/>
      <w:r w:rsidR="003055D9" w:rsidRPr="00557380">
        <w:t xml:space="preserve"> i løpet av 24 timer.</w:t>
      </w:r>
      <w:r w:rsidR="00BC1D8A">
        <w:t xml:space="preserve"> </w:t>
      </w:r>
    </w:p>
    <w:p w14:paraId="5393C2A8" w14:textId="77777777" w:rsidR="00147792" w:rsidRPr="00147792" w:rsidRDefault="00147792" w:rsidP="00147792">
      <w:pPr>
        <w:pStyle w:val="Overskrift1"/>
        <w:rPr>
          <w:b/>
          <w:bCs/>
          <w:color w:val="auto"/>
        </w:rPr>
      </w:pPr>
      <w:r w:rsidRPr="00147792">
        <w:rPr>
          <w:b/>
          <w:bCs/>
          <w:color w:val="auto"/>
        </w:rPr>
        <w:t xml:space="preserve">§5 Redskapsbruk og fiskemetoder </w:t>
      </w:r>
    </w:p>
    <w:p w14:paraId="60561B22" w14:textId="41B88F28" w:rsidR="00147792" w:rsidRDefault="00147792" w:rsidP="00147792">
      <w:r w:rsidRPr="00147792">
        <w:t>Her legger man inn det som er tillatt å fiske med i ditt vassdrag</w:t>
      </w:r>
      <w:r>
        <w:t>, og hvordan man skal fiske</w:t>
      </w:r>
      <w:r w:rsidRPr="00147792">
        <w:t xml:space="preserve">. </w:t>
      </w:r>
      <w:r>
        <w:t xml:space="preserve">Husk at redskapsbegrensninger og fiskemetoder også skal være rettferdige og biologisk begrunnet. </w:t>
      </w:r>
    </w:p>
    <w:p w14:paraId="2A14D1C9" w14:textId="77777777" w:rsidR="00147792" w:rsidRPr="0082501C" w:rsidRDefault="00147792" w:rsidP="00147792">
      <w:pPr>
        <w:pStyle w:val="Overskrift1"/>
        <w:rPr>
          <w:b/>
          <w:bCs/>
          <w:color w:val="auto"/>
        </w:rPr>
      </w:pPr>
      <w:r w:rsidRPr="0082501C">
        <w:rPr>
          <w:b/>
          <w:bCs/>
          <w:color w:val="auto"/>
        </w:rPr>
        <w:t>§6 Fangstrapportering</w:t>
      </w:r>
    </w:p>
    <w:p w14:paraId="669F867D" w14:textId="4493B2E7" w:rsidR="00147792" w:rsidRPr="00147792" w:rsidRDefault="00147792" w:rsidP="00147792">
      <w:r>
        <w:t xml:space="preserve">Vi anbefaler å ha løpende digital fangstrapportering slik at forvaltningslaget til </w:t>
      </w:r>
      <w:r w:rsidR="00BC1D8A">
        <w:t>enhver</w:t>
      </w:r>
      <w:r>
        <w:t xml:space="preserve"> tid har oversikt over fangst og innsig til vassdraget. En digital fangstrapportering vil også gjøre det lettere for fiskeoppsynet å følge opp kvoter </w:t>
      </w:r>
      <w:r w:rsidR="00A00F02">
        <w:t xml:space="preserve">og rapportering. </w:t>
      </w:r>
    </w:p>
    <w:p w14:paraId="47B935A1" w14:textId="77777777" w:rsidR="00A00F02" w:rsidRPr="004F749C" w:rsidRDefault="00A00F02" w:rsidP="00A00F02">
      <w:pPr>
        <w:pStyle w:val="Overskrift1"/>
        <w:rPr>
          <w:b/>
          <w:bCs/>
          <w:color w:val="auto"/>
        </w:rPr>
      </w:pPr>
      <w:r w:rsidRPr="004F749C">
        <w:rPr>
          <w:b/>
          <w:bCs/>
          <w:color w:val="auto"/>
        </w:rPr>
        <w:t xml:space="preserve">§7 Desinfisering av fiskeutstyr og annet fiskeredskap </w:t>
      </w:r>
    </w:p>
    <w:p w14:paraId="6250E501" w14:textId="1FC68330" w:rsidR="00A00F02" w:rsidRPr="007E4606" w:rsidRDefault="00A00F02" w:rsidP="00A00F02">
      <w:pPr>
        <w:rPr>
          <w:i/>
          <w:iCs/>
        </w:rPr>
      </w:pPr>
      <w:r w:rsidRPr="00A00F02">
        <w:t xml:space="preserve">Husk å gi en mulighet til de som har tørt eller nytt utstyr, slik at de kan få en gyldig attest uten å desinfisere utstyret. </w:t>
      </w:r>
      <w:r>
        <w:t xml:space="preserve">Det er også viktig å ta en risikovurdering med tanke på nabovassdrag. Er nabovassdraget infisert av </w:t>
      </w:r>
      <w:r w:rsidRPr="00BC1D8A">
        <w:rPr>
          <w:i/>
          <w:iCs/>
        </w:rPr>
        <w:t>Gyrodact</w:t>
      </w:r>
      <w:r w:rsidR="00BC1D8A" w:rsidRPr="00BC1D8A">
        <w:rPr>
          <w:i/>
          <w:iCs/>
        </w:rPr>
        <w:t>ylus</w:t>
      </w:r>
      <w:r w:rsidRPr="00BC1D8A">
        <w:rPr>
          <w:i/>
          <w:iCs/>
        </w:rPr>
        <w:t xml:space="preserve"> salaris</w:t>
      </w:r>
      <w:r>
        <w:t xml:space="preserve"> vil det være viktig å sikre at fiskere som kommer derfra desinfiserer </w:t>
      </w:r>
      <w:r w:rsidR="00BC1D8A">
        <w:t>fiskeutstyret</w:t>
      </w:r>
      <w:r>
        <w:t xml:space="preserve">. Her kan </w:t>
      </w:r>
      <w:r w:rsidRPr="00A00F02">
        <w:t>det være nødvendig med et strenger</w:t>
      </w:r>
      <w:r w:rsidR="008B1971">
        <w:t>e</w:t>
      </w:r>
      <w:r w:rsidRPr="00A00F02">
        <w:t xml:space="preserve"> regime. Styret må derfor ta en vurdering </w:t>
      </w:r>
      <w:r w:rsidR="008B1971">
        <w:t>av de</w:t>
      </w:r>
      <w:r w:rsidRPr="00A00F02">
        <w:t xml:space="preserve"> lokale forhold</w:t>
      </w:r>
      <w:r w:rsidR="008B1971">
        <w:t>ene</w:t>
      </w:r>
      <w:r w:rsidRPr="00A00F02">
        <w:t xml:space="preserve"> </w:t>
      </w:r>
      <w:r w:rsidR="008B1971">
        <w:t>inklusive</w:t>
      </w:r>
      <w:r w:rsidR="008B1971" w:rsidRPr="00A00F02">
        <w:t xml:space="preserve"> </w:t>
      </w:r>
      <w:r w:rsidR="008B1971">
        <w:t xml:space="preserve">smittestatus i </w:t>
      </w:r>
      <w:r w:rsidRPr="00A00F02">
        <w:t>nabovassdrag</w:t>
      </w:r>
      <w:r w:rsidRPr="00A00F02">
        <w:rPr>
          <w:i/>
          <w:iCs/>
        </w:rPr>
        <w:t xml:space="preserve">. </w:t>
      </w:r>
    </w:p>
    <w:p w14:paraId="1A9023AC" w14:textId="77777777" w:rsidR="00A00F02" w:rsidRPr="00A00F02" w:rsidRDefault="00A00F02" w:rsidP="00A00F02">
      <w:pPr>
        <w:pStyle w:val="Overskrift1"/>
        <w:rPr>
          <w:b/>
          <w:bCs/>
          <w:color w:val="auto"/>
        </w:rPr>
      </w:pPr>
      <w:r w:rsidRPr="00A00F02">
        <w:rPr>
          <w:b/>
          <w:bCs/>
          <w:color w:val="auto"/>
        </w:rPr>
        <w:t> §8 Unntaksregler ved spesielle forhold</w:t>
      </w:r>
    </w:p>
    <w:p w14:paraId="0118F88C" w14:textId="1B552776" w:rsidR="00C9481B" w:rsidRDefault="00A00F02">
      <w:r w:rsidRPr="00A00F02">
        <w:t xml:space="preserve">Her legger </w:t>
      </w:r>
      <w:r>
        <w:t xml:space="preserve">dere </w:t>
      </w:r>
      <w:r w:rsidRPr="00A00F02">
        <w:t xml:space="preserve">inn </w:t>
      </w:r>
      <w:r w:rsidR="009C6190">
        <w:t>eventuelle</w:t>
      </w:r>
      <w:r w:rsidR="009C6190" w:rsidRPr="00A00F02">
        <w:t xml:space="preserve"> </w:t>
      </w:r>
      <w:r w:rsidRPr="00A00F02">
        <w:t xml:space="preserve">unntaksregler dersom dette er relevant for ditt vassdrag. </w:t>
      </w:r>
      <w:r w:rsidR="00BC1D8A">
        <w:t>Det er viktig</w:t>
      </w:r>
      <w:r w:rsidRPr="00A00F02">
        <w:t xml:space="preserve"> at styret tar en diskusjon på hvor lenge det skal være over xx grader og under xx vannføring før </w:t>
      </w:r>
      <w:r w:rsidR="009C6190">
        <w:t>elva</w:t>
      </w:r>
      <w:r w:rsidR="009C6190" w:rsidRPr="00A00F02">
        <w:t xml:space="preserve"> </w:t>
      </w:r>
      <w:r w:rsidRPr="00A00F02">
        <w:t>stenges</w:t>
      </w:r>
      <w:r w:rsidR="00107F5E">
        <w:t xml:space="preserve"> </w:t>
      </w:r>
      <w:r w:rsidR="009C6190">
        <w:t>/</w:t>
      </w:r>
      <w:r w:rsidR="009C6190">
        <w:t xml:space="preserve"> </w:t>
      </w:r>
      <w:r w:rsidR="00107F5E">
        <w:t>åpnes</w:t>
      </w:r>
      <w:r w:rsidRPr="00A00F02">
        <w:t xml:space="preserve">. </w:t>
      </w:r>
      <w:r w:rsidR="009C6190">
        <w:t xml:space="preserve">Avgjørelsen må begrunnes i en vurdering av dyrevelferd og evt. også fare for sykdomsutbrudd / høy dødelighet ved gjenutsetting. </w:t>
      </w:r>
      <w:r w:rsidRPr="00A00F02">
        <w:t xml:space="preserve">Det må </w:t>
      </w:r>
      <w:r w:rsidR="00107F5E">
        <w:t xml:space="preserve">derfor </w:t>
      </w:r>
      <w:r w:rsidRPr="00A00F02">
        <w:t>være utarbeidet tydelige kriterier for stenging og åpning. Det kan f.eks. være målepunkter</w:t>
      </w:r>
      <w:r w:rsidR="00107F5E">
        <w:t xml:space="preserve"> på vannføring</w:t>
      </w:r>
      <w:r w:rsidRPr="00A00F02">
        <w:t xml:space="preserve">. Det må da være utarbeidet en metodikk som gjør at det er forutsigbart og lett å følge opp stenging og åpning ved spesielle forhold. Man kan vurdere å dele unntaksregler i flere deler, f.eks. innføre lett fiske ved andre forhold enn når man stenger for fiske. </w:t>
      </w:r>
    </w:p>
    <w:p w14:paraId="3CCD71BA" w14:textId="77777777" w:rsidR="00107F5E" w:rsidRPr="00DE591F" w:rsidRDefault="00107F5E" w:rsidP="00107F5E">
      <w:pPr>
        <w:pStyle w:val="Overskrift1"/>
        <w:rPr>
          <w:b/>
          <w:bCs/>
          <w:color w:val="auto"/>
        </w:rPr>
      </w:pPr>
      <w:r w:rsidRPr="00DE591F">
        <w:rPr>
          <w:b/>
          <w:bCs/>
          <w:color w:val="auto"/>
        </w:rPr>
        <w:t> §</w:t>
      </w:r>
      <w:r>
        <w:rPr>
          <w:b/>
          <w:bCs/>
          <w:color w:val="auto"/>
        </w:rPr>
        <w:t>9</w:t>
      </w:r>
      <w:r w:rsidRPr="00DE591F">
        <w:rPr>
          <w:b/>
          <w:bCs/>
          <w:color w:val="auto"/>
        </w:rPr>
        <w:t xml:space="preserve"> Oppførsel i elva</w:t>
      </w:r>
    </w:p>
    <w:p w14:paraId="573CD5A7" w14:textId="2AE4F468" w:rsidR="00107F5E" w:rsidRDefault="00107F5E">
      <w:r w:rsidRPr="00107F5E">
        <w:t>Dette punktet</w:t>
      </w:r>
      <w:r w:rsidR="00BC1D8A">
        <w:t xml:space="preserve"> </w:t>
      </w:r>
      <w:r>
        <w:t xml:space="preserve">er viktig fordi det setter rammene rundt </w:t>
      </w:r>
      <w:r w:rsidR="009C6190">
        <w:t>sports</w:t>
      </w:r>
      <w:r>
        <w:t>fiskekulturen dere ønsker i elv</w:t>
      </w:r>
      <w:r w:rsidR="00BC1D8A">
        <w:t>a, og m</w:t>
      </w:r>
      <w:r>
        <w:t>an legge</w:t>
      </w:r>
      <w:r w:rsidR="00BC1D8A">
        <w:t>r</w:t>
      </w:r>
      <w:r>
        <w:t xml:space="preserve"> </w:t>
      </w:r>
      <w:r w:rsidR="00BC1D8A">
        <w:t>inn</w:t>
      </w:r>
      <w:r>
        <w:t xml:space="preserve"> hvordan man ønsker fiske skal foregå. Husk at dette også skal være rettferdig og biologisk begrunnet. </w:t>
      </w:r>
      <w:r w:rsidR="008F56F6">
        <w:t>E</w:t>
      </w:r>
      <w:r>
        <w:t>n god fiskekultur i elva</w:t>
      </w:r>
      <w:r w:rsidR="008F56F6">
        <w:t xml:space="preserve"> </w:t>
      </w:r>
      <w:r w:rsidR="00423FD4">
        <w:t xml:space="preserve">virker preventivt på ulovlig fiske og er dermed også </w:t>
      </w:r>
      <w:r w:rsidR="008F56F6">
        <w:t>viktig for bestanden</w:t>
      </w:r>
      <w:r w:rsidR="00423FD4">
        <w:t>e.</w:t>
      </w:r>
      <w:r w:rsidR="008F56F6">
        <w:t xml:space="preserve"> </w:t>
      </w:r>
    </w:p>
    <w:p w14:paraId="100EF9AB" w14:textId="759F9E0D" w:rsidR="00107F5E" w:rsidRDefault="00107F5E" w:rsidP="00107F5E">
      <w:pPr>
        <w:pStyle w:val="Overskrift1"/>
        <w:rPr>
          <w:b/>
          <w:bCs/>
          <w:color w:val="auto"/>
        </w:rPr>
      </w:pPr>
      <w:r w:rsidRPr="00DE591F">
        <w:rPr>
          <w:b/>
          <w:bCs/>
          <w:color w:val="auto"/>
        </w:rPr>
        <w:t xml:space="preserve">§10 Brudd på fiskereglene </w:t>
      </w:r>
    </w:p>
    <w:p w14:paraId="4A68B036" w14:textId="59817981" w:rsidR="00452894" w:rsidRDefault="00452894" w:rsidP="00107F5E">
      <w:r>
        <w:t>For at fiskereglene skal stå sterkt er det viktig at det følger en reaksjon når noen bryter fiskereglene. Husk at reaksjone</w:t>
      </w:r>
      <w:r w:rsidR="008F56F6">
        <w:t>n</w:t>
      </w:r>
      <w:r>
        <w:t xml:space="preserve"> må stå </w:t>
      </w:r>
      <w:proofErr w:type="gramStart"/>
      <w:r>
        <w:t xml:space="preserve">i </w:t>
      </w:r>
      <w:r w:rsidR="00423FD4">
        <w:t xml:space="preserve"> forhold</w:t>
      </w:r>
      <w:proofErr w:type="gramEnd"/>
      <w:r w:rsidR="00423FD4">
        <w:t xml:space="preserve"> til</w:t>
      </w:r>
      <w:r w:rsidR="008F56F6">
        <w:t xml:space="preserve"> </w:t>
      </w:r>
      <w:r>
        <w:t xml:space="preserve">regelbruddet. Derfor er det viktig at fiskereglene er fornuftige også </w:t>
      </w:r>
      <w:r w:rsidR="00423FD4">
        <w:t>med tanke på</w:t>
      </w:r>
      <w:r>
        <w:t xml:space="preserve"> oppfølging </w:t>
      </w:r>
      <w:r w:rsidR="008F56F6">
        <w:t>av</w:t>
      </w:r>
      <w:r>
        <w:t xml:space="preserve"> brudd på fiskereglene. Vi anbefaler ikke å ha fiskeregler som er vanskelige å følge opp, eller reaksjoner ved brudd på fiskereglene som er vanskelig å følge opp. </w:t>
      </w:r>
    </w:p>
    <w:p w14:paraId="077F424D" w14:textId="506B6605" w:rsidR="00107F5E" w:rsidRPr="00107F5E" w:rsidRDefault="00107F5E" w:rsidP="00107F5E">
      <w:r w:rsidRPr="00107F5E">
        <w:t>Her er det</w:t>
      </w:r>
      <w:r w:rsidR="00452894">
        <w:t xml:space="preserve"> derfor</w:t>
      </w:r>
      <w:r w:rsidRPr="00107F5E">
        <w:t xml:space="preserve"> viktig at styret tar en vurdering på hvor mye ressurser som kan brukes på oppfølging av regelbrudd, og hva som vil være relevant reaksjon</w:t>
      </w:r>
      <w:r w:rsidR="00452894">
        <w:t xml:space="preserve"> for de enkelte regelbruddene</w:t>
      </w:r>
      <w:r w:rsidRPr="00107F5E">
        <w:t>. Styret må også vurdere hvor stort problem dette er. Her legger vi frem hvordan man kan løse det ved å velge enten «følgende reaksjoner» eller «følgende gebyrsatser».</w:t>
      </w:r>
      <w:r w:rsidR="00452894">
        <w:t xml:space="preserve"> For videre veiledning angående tema ta gjerne kontakt med oss i Norske Lakseelver. </w:t>
      </w:r>
    </w:p>
    <w:p w14:paraId="7F558CFE" w14:textId="4335B046" w:rsidR="00107F5E" w:rsidRDefault="00107F5E" w:rsidP="00107F5E">
      <w:pPr>
        <w:pStyle w:val="Overskrift1"/>
        <w:rPr>
          <w:b/>
          <w:bCs/>
          <w:color w:val="auto"/>
        </w:rPr>
      </w:pPr>
      <w:r w:rsidRPr="00107F5E">
        <w:rPr>
          <w:b/>
          <w:bCs/>
          <w:color w:val="auto"/>
        </w:rPr>
        <w:lastRenderedPageBreak/>
        <w:t>§11 Aksept fra fisker</w:t>
      </w:r>
    </w:p>
    <w:p w14:paraId="7DB83AD4" w14:textId="0EB37CFA" w:rsidR="00452894" w:rsidRPr="00452894" w:rsidRDefault="00452894" w:rsidP="00452894">
      <w:r>
        <w:t xml:space="preserve">For at forvaltningslaget skal stå sterkt i en eventuell tvist er det viktig å kunne dokumentere at vedkommende har vært tilstrekkelig opplyst om fiskeregler og om reaksjoner ved brudd på fiskereglene. Vi anbefaler at det står et avsnitt om aksept, og at fiskereglene følger fiskekortet både digitalt og fysisk. </w:t>
      </w:r>
      <w:r w:rsidR="004D7EBD">
        <w:t>Vi anbefaler på det sterkeste ved</w:t>
      </w:r>
      <w:r>
        <w:t xml:space="preserve"> digitalt salg av fiskekort </w:t>
      </w:r>
      <w:r w:rsidR="004D7EBD">
        <w:t>at det er en</w:t>
      </w:r>
      <w:r>
        <w:t xml:space="preserve"> funksjon der fiskeren </w:t>
      </w:r>
      <w:r w:rsidR="004D7EBD">
        <w:t xml:space="preserve">må krysse av på at fiskereglene er lest og akseptert. På samme møte bør det ved fysisk kortsalg skrives under med signatur at fiskeren har lest og akseptert fiskereglene og reaksjoner ved brudd. </w:t>
      </w:r>
    </w:p>
    <w:sectPr w:rsidR="00452894" w:rsidRPr="00452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60"/>
    <w:rsid w:val="0007444D"/>
    <w:rsid w:val="00083AB4"/>
    <w:rsid w:val="00103660"/>
    <w:rsid w:val="00107F5E"/>
    <w:rsid w:val="00147792"/>
    <w:rsid w:val="002B7011"/>
    <w:rsid w:val="002C43F3"/>
    <w:rsid w:val="003055D9"/>
    <w:rsid w:val="00423FD4"/>
    <w:rsid w:val="00452894"/>
    <w:rsid w:val="004D7EBD"/>
    <w:rsid w:val="00550F7B"/>
    <w:rsid w:val="00557380"/>
    <w:rsid w:val="008B1971"/>
    <w:rsid w:val="008F56F6"/>
    <w:rsid w:val="009C6190"/>
    <w:rsid w:val="00A00F02"/>
    <w:rsid w:val="00BC1D8A"/>
    <w:rsid w:val="00C20B06"/>
    <w:rsid w:val="00C9481B"/>
    <w:rsid w:val="00D822D7"/>
    <w:rsid w:val="00D94490"/>
    <w:rsid w:val="00EA2168"/>
    <w:rsid w:val="00EB2727"/>
    <w:rsid w:val="00F51887"/>
    <w:rsid w:val="00FD48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85AC"/>
  <w15:chartTrackingRefBased/>
  <w15:docId w15:val="{EE703B36-C62A-4E64-91A7-073002A7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4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481B"/>
    <w:rPr>
      <w:rFonts w:asciiTheme="majorHAnsi" w:eastAsiaTheme="majorEastAsia" w:hAnsiTheme="majorHAnsi" w:cstheme="majorBidi"/>
      <w:color w:val="2F5496" w:themeColor="accent1" w:themeShade="BF"/>
      <w:sz w:val="32"/>
      <w:szCs w:val="32"/>
    </w:rPr>
  </w:style>
  <w:style w:type="character" w:styleId="Merknadsreferanse">
    <w:name w:val="annotation reference"/>
    <w:basedOn w:val="Standardskriftforavsnitt"/>
    <w:uiPriority w:val="99"/>
    <w:semiHidden/>
    <w:unhideWhenUsed/>
    <w:rsid w:val="00C20B06"/>
    <w:rPr>
      <w:sz w:val="16"/>
      <w:szCs w:val="16"/>
    </w:rPr>
  </w:style>
  <w:style w:type="paragraph" w:styleId="Merknadstekst">
    <w:name w:val="annotation text"/>
    <w:basedOn w:val="Normal"/>
    <w:link w:val="MerknadstekstTegn"/>
    <w:uiPriority w:val="99"/>
    <w:semiHidden/>
    <w:unhideWhenUsed/>
    <w:rsid w:val="00C20B0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20B06"/>
    <w:rPr>
      <w:sz w:val="20"/>
      <w:szCs w:val="20"/>
    </w:rPr>
  </w:style>
  <w:style w:type="paragraph" w:styleId="Kommentaremne">
    <w:name w:val="annotation subject"/>
    <w:basedOn w:val="Merknadstekst"/>
    <w:next w:val="Merknadstekst"/>
    <w:link w:val="KommentaremneTegn"/>
    <w:uiPriority w:val="99"/>
    <w:semiHidden/>
    <w:unhideWhenUsed/>
    <w:rsid w:val="00C20B06"/>
    <w:rPr>
      <w:b/>
      <w:bCs/>
    </w:rPr>
  </w:style>
  <w:style w:type="character" w:customStyle="1" w:styleId="KommentaremneTegn">
    <w:name w:val="Kommentaremne Tegn"/>
    <w:basedOn w:val="MerknadstekstTegn"/>
    <w:link w:val="Kommentaremne"/>
    <w:uiPriority w:val="99"/>
    <w:semiHidden/>
    <w:rsid w:val="00C20B06"/>
    <w:rPr>
      <w:b/>
      <w:bCs/>
      <w:sz w:val="20"/>
      <w:szCs w:val="20"/>
    </w:rPr>
  </w:style>
  <w:style w:type="character" w:styleId="Hyperkobling">
    <w:name w:val="Hyperlink"/>
    <w:basedOn w:val="Standardskriftforavsnitt"/>
    <w:uiPriority w:val="99"/>
    <w:unhideWhenUsed/>
    <w:rsid w:val="00C20B06"/>
    <w:rPr>
      <w:color w:val="0000FF"/>
      <w:u w:val="single"/>
    </w:rPr>
  </w:style>
  <w:style w:type="character" w:styleId="Ulstomtale">
    <w:name w:val="Unresolved Mention"/>
    <w:basedOn w:val="Standardskriftforavsnitt"/>
    <w:uiPriority w:val="99"/>
    <w:semiHidden/>
    <w:unhideWhenUsed/>
    <w:rsid w:val="00C2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vdata.no/dokument/LF/forskrift/2021-06-01-1851" TargetMode="External"/><Relationship Id="rId4" Type="http://schemas.openxmlformats.org/officeDocument/2006/relationships/hyperlink" Target="https://lovdata.no/dokument/SF/forskrift/2021-03-15-79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6081</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Sørvik</dc:creator>
  <cp:keywords/>
  <dc:description/>
  <cp:lastModifiedBy>Pål Mugaas</cp:lastModifiedBy>
  <cp:revision>2</cp:revision>
  <dcterms:created xsi:type="dcterms:W3CDTF">2022-04-29T12:34:00Z</dcterms:created>
  <dcterms:modified xsi:type="dcterms:W3CDTF">2022-04-29T12:34:00Z</dcterms:modified>
</cp:coreProperties>
</file>